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Kicker"/>
        <w:widowControl/>
        <w:spacing w:before="440"/>
      </w:pPr>
      <w:r>
        <w:t>L U N A S E E D</w:t>
      </w:r>
    </w:p>
    <w:p>
      <w:pPr>
        <w:pStyle w:val="CoverTitle"/>
        <w:widowControl/>
        <w:spacing w:before="1200"/>
      </w:pPr>
      <w:r>
        <w:t>Security &amp;</w:t>
        <w:br/>
        <w:t>Data Protection</w:t>
        <w:br/>
        <w:t>Overview</w:t>
      </w:r>
    </w:p>
    <w:p>
      <w:pPr>
        <w:pStyle w:val="CoverSubtitle"/>
        <w:widowControl/>
      </w:pPr>
      <w:r>
        <w:t>Confidential venture diligence, protected by design.</w:t>
      </w:r>
    </w:p>
    <w:p>
      <w:pPr>
        <w:spacing w:before="60" w:after="220"/>
        <w:widowControl/>
        <w:pBdr>
          <w:bottom w:val="single" w:sz="6" w:color="E8E0D7" w:space="1"/>
        </w:pBdr>
      </w:pPr>
    </w:p>
    <w:p>
      <w:pPr>
        <w:widowControl/>
        <w:spacing w:before="100" w:after="800"/>
      </w:pPr>
      <w:r>
        <w:t>A customer-facing overview of Lunaseed’s safeguards for company documents, operating-data snapshots, AI-assisted diligence, and firm workspaces.</w:t>
      </w:r>
    </w:p>
    <w:tbl>
      <w:tblPr>
        <w:tblW w:type="auto" w:w="0"/>
        <w:jc w:val="center"/>
        <w:tblLayout w:type="fixed"/>
        <w:tblLook w:firstColumn="1" w:firstRow="1" w:lastColumn="0" w:lastRow="0" w:noHBand="0" w:noVBand="1" w:val="04A0"/>
      </w:tblPr>
      <w:tblGrid>
        <w:gridCol w:w="4579"/>
        <w:gridCol w:w="4579"/>
      </w:tblGrid>
      <w:tr>
        <w:trPr>
          <w:tblHeader w:val="true"/>
          <w:cantSplit/>
          <w:cantSplit/>
        </w:trPr>
        <w:tc>
          <w:tcPr>
            <w:tcW w:type="dxa" w:w="2880"/>
            <w:shd w:fill="241D18"/>
            <w:tcMar>
              <w:top w:w="115" w:type="dxa"/>
              <w:start w:w="115" w:type="dxa"/>
              <w:bottom w:w="115" w:type="dxa"/>
              <w:end w:w="115" w:type="dxa"/>
            </w:tcMar>
          </w:tcPr>
          <w:p>
            <w:pPr>
              <w:spacing w:after="0"/>
            </w:pPr>
            <w:r>
              <w:rPr>
                <w:rFonts w:ascii="Inter" w:hAnsi="Inter"/>
                <w:b/>
                <w:color w:val="FFFFFF"/>
                <w:sz w:val="14"/>
              </w:rPr>
              <w:t>DOCUMENT</w:t>
            </w:r>
          </w:p>
        </w:tc>
        <w:tc>
          <w:tcPr>
            <w:tcW w:type="dxa" w:w="6264"/>
            <w:shd w:fill="241D18"/>
            <w:tcMar>
              <w:top w:w="115" w:type="dxa"/>
              <w:start w:w="115" w:type="dxa"/>
              <w:bottom w:w="115" w:type="dxa"/>
              <w:end w:w="115" w:type="dxa"/>
            </w:tcMar>
          </w:tcPr>
          <w:p>
            <w:pPr>
              <w:spacing w:after="0"/>
            </w:pPr>
            <w:r>
              <w:rPr>
                <w:rFonts w:ascii="Inter" w:hAnsi="Inter"/>
                <w:b/>
                <w:color w:val="FFFFFF"/>
                <w:sz w:val="14"/>
              </w:rPr>
              <w:t>PUBLICATION</w:t>
            </w:r>
          </w:p>
        </w:tc>
      </w:tr>
      <w:tr>
        <w:trPr>
          <w:cantSplit/>
          <w:cantSplit/>
        </w:trPr>
        <w:tc>
          <w:tcPr>
            <w:tcW w:type="dxa" w:w="2880"/>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6"/>
              </w:rPr>
              <w:t>Security &amp; Data Protection Overview</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6"/>
              </w:rPr>
              <w:t>October 2026  |  Version 1.0</w:t>
            </w:r>
          </w:p>
        </w:tc>
      </w:tr>
      <w:tr>
        <w:trPr>
          <w:cantSplit/>
          <w:cantSplit/>
        </w:trPr>
        <w:tc>
          <w:tcPr>
            <w:tcW w:type="dxa" w:w="2880"/>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6"/>
              </w:rPr>
              <w:t>Prepared by</w:t>
            </w:r>
          </w:p>
        </w:tc>
        <w:tc>
          <w:tcPr>
            <w:tcW w:type="dxa" w:w="62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6"/>
              </w:rPr>
              <w:t>Lunaseed Inc.</w:t>
            </w:r>
          </w:p>
        </w:tc>
      </w:tr>
      <w:tr>
        <w:trPr>
          <w:cantSplit/>
          <w:cantSplit/>
        </w:trPr>
        <w:tc>
          <w:tcPr>
            <w:tcW w:type="dxa" w:w="2880"/>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6"/>
              </w:rPr>
              <w:t>Intended audience</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6"/>
              </w:rPr>
              <w:t>Venture firms, founders, security and legal reviewers</w:t>
            </w:r>
          </w:p>
        </w:tc>
      </w:tr>
    </w:tbl>
    <w:p>
      <w:pPr>
        <w:widowControl/>
        <w:spacing w:after="0"/>
      </w:pPr>
    </w:p>
    <w:p>
      <w:pPr>
        <w:pStyle w:val="NoteStyle"/>
        <w:widowControl/>
      </w:pPr>
      <w:r>
        <w:t>This overview summarizes platform security and data-handling practices. It is not an audit report, certification, or replacement for the contractual terms governing a customer’s use of Lunaseed.</w:t>
      </w:r>
    </w:p>
    <w:p>
      <w:pPr>
        <w:widowControl/>
      </w:pPr>
      <w:r>
        <w:br w:type="page"/>
      </w:r>
    </w:p>
    <w:p>
      <w:pPr>
        <w:pStyle w:val="SecLabel"/>
        <w:widowControl/>
      </w:pPr>
      <w:r>
        <w:t>OVERVIEW</w:t>
      </w:r>
    </w:p>
    <w:p>
      <w:pPr>
        <w:pStyle w:val="SectionHeading"/>
        <w:widowControl/>
      </w:pPr>
      <w:r>
        <w:t>Purpose &amp; security commitments</w:t>
      </w:r>
    </w:p>
    <w:p>
      <w:pPr>
        <w:widowControl/>
      </w:pPr>
      <w:r>
        <w:t>Lunaseed provides infrastructure for venture diligence. Companies submit documents, authorize point-in-time operating-data collection, and share diligence materials with specified investment firms. Authorized investment teams use source-linked Fact Sheets, Carter, Investigations, the Editor, Deal Review, and firm memos to review that evidence and prepare investment materials.</w:t>
      </w:r>
    </w:p>
    <w:p>
      <w:pPr>
        <w:widowControl/>
      </w:pPr>
      <w:r>
        <w:t>Because these workflows may involve sensitive company, personal, financial, legal, and technical information, Lunaseed uses controls intended to preserve confidentiality, limit access, protect processing, and provide defined retention and deletion processes.</w:t>
      </w:r>
    </w:p>
    <w:p>
      <w:pPr>
        <w:pStyle w:val="Subheading"/>
        <w:widowControl/>
      </w:pPr>
      <w:r>
        <w:t>Core security commitments</w:t>
      </w:r>
    </w:p>
    <w:tbl>
      <w:tblPr>
        <w:tblW w:type="auto" w:w="0"/>
        <w:jc w:val="center"/>
        <w:tblLayout w:type="fixed"/>
        <w:tblLook w:firstColumn="1" w:firstRow="1" w:lastColumn="0" w:lastRow="0" w:noHBand="0" w:noVBand="1" w:val="04A0"/>
      </w:tblPr>
      <w:tblGrid>
        <w:gridCol w:w="4579"/>
        <w:gridCol w:w="4579"/>
      </w:tblGrid>
      <w:tr>
        <w:trPr>
          <w:tblHeader w:val="true"/>
          <w:cantSplit/>
          <w:cantSplit/>
        </w:trPr>
        <w:tc>
          <w:tcPr>
            <w:tcW w:type="dxa" w:w="2232"/>
            <w:shd w:fill="241D18"/>
            <w:tcMar>
              <w:top w:w="115" w:type="dxa"/>
              <w:start w:w="115" w:type="dxa"/>
              <w:bottom w:w="115" w:type="dxa"/>
              <w:end w:w="115" w:type="dxa"/>
            </w:tcMar>
          </w:tcPr>
          <w:p>
            <w:pPr>
              <w:spacing w:after="0"/>
            </w:pPr>
            <w:r>
              <w:rPr>
                <w:rFonts w:ascii="Inter" w:hAnsi="Inter"/>
                <w:b/>
                <w:color w:val="FFFFFF"/>
                <w:sz w:val="14"/>
              </w:rPr>
              <w:t>CONTROL AREA</w:t>
            </w:r>
          </w:p>
        </w:tc>
        <w:tc>
          <w:tcPr>
            <w:tcW w:type="dxa" w:w="6912"/>
            <w:shd w:fill="241D18"/>
            <w:tcMar>
              <w:top w:w="115" w:type="dxa"/>
              <w:start w:w="115" w:type="dxa"/>
              <w:bottom w:w="115" w:type="dxa"/>
              <w:end w:w="115" w:type="dxa"/>
            </w:tcMar>
          </w:tcPr>
          <w:p>
            <w:pPr>
              <w:spacing w:after="0"/>
            </w:pPr>
            <w:r>
              <w:rPr>
                <w:rFonts w:ascii="Inter" w:hAnsi="Inter"/>
                <w:b/>
                <w:color w:val="FFFFFF"/>
                <w:sz w:val="14"/>
              </w:rPr>
              <w:t>LUNASEED APPROACH</w:t>
            </w:r>
          </w:p>
        </w:tc>
      </w:tr>
      <w:tr>
        <w:trPr>
          <w:cantSplit/>
          <w:cantSplit/>
        </w:trPr>
        <w:tc>
          <w:tcPr>
            <w:tcW w:type="dxa" w:w="2232"/>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6"/>
              </w:rPr>
              <w:t>Access boundaries</w:t>
            </w:r>
          </w:p>
        </w:tc>
        <w:tc>
          <w:tcPr>
            <w:tcW w:type="dxa" w:w="691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6"/>
              </w:rPr>
              <w:t>Firm, company, and engagement data are separated; access is scoped to authorized users and purposes.</w:t>
            </w:r>
          </w:p>
        </w:tc>
      </w:tr>
      <w:tr>
        <w:trPr>
          <w:cantSplit/>
          <w:cantSplit/>
        </w:trPr>
        <w:tc>
          <w:tcPr>
            <w:tcW w:type="dxa" w:w="2232"/>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6"/>
              </w:rPr>
              <w:t>Operating-data access</w:t>
            </w:r>
          </w:p>
        </w:tc>
        <w:tc>
          <w:tcPr>
            <w:tcW w:type="dxa" w:w="691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6"/>
              </w:rPr>
              <w:t>Temporary, read-only connections collect point-in-time snapshots rather than maintain ongoing access.</w:t>
            </w:r>
          </w:p>
        </w:tc>
      </w:tr>
      <w:tr>
        <w:trPr>
          <w:cantSplit/>
          <w:cantSplit/>
        </w:trPr>
        <w:tc>
          <w:tcPr>
            <w:tcW w:type="dxa" w:w="2232"/>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6"/>
              </w:rPr>
              <w:t>Protection</w:t>
            </w:r>
          </w:p>
        </w:tc>
        <w:tc>
          <w:tcPr>
            <w:tcW w:type="dxa" w:w="691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6"/>
              </w:rPr>
              <w:t>Customer content is encrypted in transit and at rest; access to infrastructure and credentials is restricted.</w:t>
            </w:r>
          </w:p>
        </w:tc>
      </w:tr>
      <w:tr>
        <w:trPr>
          <w:cantSplit/>
          <w:cantSplit/>
        </w:trPr>
        <w:tc>
          <w:tcPr>
            <w:tcW w:type="dxa" w:w="2232"/>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6"/>
              </w:rPr>
              <w:t>AI processing</w:t>
            </w:r>
          </w:p>
        </w:tc>
        <w:tc>
          <w:tcPr>
            <w:tcW w:type="dxa" w:w="691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6"/>
              </w:rPr>
              <w:t>Approved production AI inference is processed through AWS Bedrock; customer content is not used for foundation-model training.</w:t>
            </w:r>
          </w:p>
        </w:tc>
      </w:tr>
      <w:tr>
        <w:trPr>
          <w:cantSplit/>
          <w:cantSplit/>
        </w:trPr>
        <w:tc>
          <w:tcPr>
            <w:tcW w:type="dxa" w:w="2232"/>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6"/>
              </w:rPr>
              <w:t>Lifecycle</w:t>
            </w:r>
          </w:p>
        </w:tc>
        <w:tc>
          <w:tcPr>
            <w:tcW w:type="dxa" w:w="691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6"/>
              </w:rPr>
              <w:t>Defined controls govern deletion requests, account termination, rolling backups, and narrow retention exceptions.</w:t>
            </w:r>
          </w:p>
        </w:tc>
      </w:tr>
      <w:tr>
        <w:trPr>
          <w:cantSplit/>
          <w:cantSplit/>
        </w:trPr>
        <w:tc>
          <w:tcPr>
            <w:tcW w:type="dxa" w:w="2232"/>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6"/>
              </w:rPr>
              <w:t>Assurance</w:t>
            </w:r>
          </w:p>
        </w:tc>
        <w:tc>
          <w:tcPr>
            <w:tcW w:type="dxa" w:w="691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6"/>
              </w:rPr>
              <w:t>Audit logging, monitoring, security testing, backup restoration testing, and incident-response processes support operations.</w:t>
            </w:r>
          </w:p>
        </w:tc>
      </w:tr>
    </w:tbl>
    <w:p>
      <w:pPr>
        <w:widowControl/>
        <w:spacing w:after="0"/>
      </w:pPr>
    </w:p>
    <w:p>
      <w:pPr>
        <w:pStyle w:val="Subheading"/>
        <w:widowControl/>
      </w:pPr>
      <w:r>
        <w:t>Scope of this document</w:t>
      </w:r>
    </w:p>
    <w:p>
      <w:pPr>
        <w:widowControl/>
      </w:pPr>
      <w:r>
        <w:t>This overview addresses data and processes within Lunaseed’s control, including company and firm workspaces, customer-uploaded files, authorized integration snapshots, generated diligence records, and related account and audit information. Services operated independently by source-system providers, verification providers, or customer organizations remain subject to those parties’ own practices and obligations.</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READING NOTE</w:t>
            </w:r>
          </w:p>
          <w:p>
            <w:pPr>
              <w:spacing w:after="0" w:line="298" w:lineRule="auto"/>
            </w:pPr>
            <w:r>
              <w:rPr>
                <w:rFonts w:ascii="Inter" w:hAnsi="Inter"/>
                <w:color w:val="241D18"/>
                <w:sz w:val="17"/>
              </w:rPr>
              <w:t>This document describes implemented control categories and customer-facing practices. It does not disclose sensitive infrastructure configurations, cryptographic key material, internal test findings, or other information that could weaken security.</w:t>
            </w:r>
          </w:p>
        </w:tc>
      </w:tr>
    </w:tbl>
    <w:p>
      <w:pPr>
        <w:widowControl/>
        <w:spacing w:after="20"/>
      </w:pPr>
    </w:p>
    <w:p>
      <w:pPr>
        <w:widowControl/>
      </w:pPr>
      <w:r>
        <w:br w:type="page"/>
      </w:r>
    </w:p>
    <w:p>
      <w:pPr>
        <w:pStyle w:val="SecLabel"/>
        <w:widowControl/>
      </w:pPr>
      <w:r>
        <w:t>01 / PLATFORM BOUNDARIES</w:t>
      </w:r>
    </w:p>
    <w:p>
      <w:pPr>
        <w:pStyle w:val="SectionHeading"/>
        <w:widowControl/>
      </w:pPr>
      <w:r>
        <w:t>Data separation &amp; access control</w:t>
      </w:r>
    </w:p>
    <w:p>
      <w:pPr>
        <w:pStyle w:val="Subheading"/>
        <w:widowControl/>
      </w:pPr>
      <w:r>
        <w:t>Firm, company, and engagement isolation</w:t>
      </w:r>
    </w:p>
    <w:p>
      <w:pPr>
        <w:widowControl/>
      </w:pPr>
      <w:r>
        <w:t>Lunaseed maintains separate logical access boundaries for venture firms, companies, and diligence engagements. Permissions are evaluated on the server side to prevent users from retrieving content belonging to another organization or engagement without an applicable authorization. A user’s membership in one firm or workspace does not, by itself, grant access to another firm’s or company’s records.</w:t>
      </w:r>
    </w:p>
    <w:p>
      <w:pPr>
        <w:widowControl/>
      </w:pPr>
      <w:r>
        <w:t>Company-provided information remains associated with the authorized diligence context. Information made available to one requesting investment firm is not automatically made available to another. A separate engagement-specific authorization is required for a separate requesting firm or materially separate diligence engagement.</w:t>
      </w:r>
    </w:p>
    <w:p>
      <w:pPr>
        <w:pStyle w:val="Subheading"/>
        <w:widowControl/>
      </w:pPr>
      <w:r>
        <w:t>Authentication and authorization</w:t>
      </w:r>
    </w:p>
    <w:p>
      <w:pPr>
        <w:pStyle w:val="SecurityBullet"/>
        <w:widowControl/>
      </w:pPr>
      <w:r>
        <w:rPr>
          <w:color w:val="9C8B79"/>
        </w:rPr>
        <w:t xml:space="preserve">•  </w:t>
      </w:r>
      <w:r>
        <w:t>Secure account authentication, multi-factor authentication (MFA), and role-based access controls support identity assurance and least-privilege access.</w:t>
      </w:r>
    </w:p>
    <w:p>
      <w:pPr>
        <w:pStyle w:val="SecurityBullet"/>
        <w:widowControl/>
      </w:pPr>
      <w:r>
        <w:rPr>
          <w:color w:val="9C8B79"/>
        </w:rPr>
        <w:t xml:space="preserve">•  </w:t>
      </w:r>
      <w:r>
        <w:t>Access to company evidence, firm diligence materials, and administrative functions is scoped by role, workspace, engagement, and permitted action.</w:t>
      </w:r>
    </w:p>
    <w:p>
      <w:pPr>
        <w:pStyle w:val="SecurityBullet"/>
        <w:widowControl/>
      </w:pPr>
      <w:r>
        <w:rPr>
          <w:color w:val="9C8B79"/>
        </w:rPr>
        <w:t xml:space="preserve">•  </w:t>
      </w:r>
      <w:r>
        <w:t>Server-side authorization applies to protected data access and sensitive operations; interface visibility alone is not treated as a security boundary.</w:t>
      </w:r>
    </w:p>
    <w:p>
      <w:pPr>
        <w:pStyle w:val="SecurityBullet"/>
        <w:widowControl/>
      </w:pPr>
      <w:r>
        <w:rPr>
          <w:color w:val="9C8B79"/>
        </w:rPr>
        <w:t xml:space="preserve">•  </w:t>
      </w:r>
      <w:r>
        <w:t>Privileged and administrative capabilities are restricted to users with the appropriate role and are subject to relevant logging and security controls.</w:t>
      </w:r>
    </w:p>
    <w:p>
      <w:pPr>
        <w:pStyle w:val="Subheading"/>
        <w:widowControl/>
      </w:pPr>
      <w:r>
        <w:t>Contributor and external-advisor access</w:t>
      </w:r>
    </w:p>
    <w:p>
      <w:pPr>
        <w:widowControl/>
      </w:pPr>
      <w:r>
        <w:t>Founders and venture firms may invite authorized personnel or advisors into specific workspaces. Contributors receive only the access assigned to their role and purpose and must accept the applicable Contributor Access &amp; Confidentiality Agreement. Access may be restricted or revoked in accordance with workspace permissions and applicable agreements.</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ISOLATION PRINCIPLE</w:t>
            </w:r>
          </w:p>
          <w:p>
            <w:pPr>
              <w:spacing w:after="0" w:line="298" w:lineRule="auto"/>
            </w:pPr>
            <w:r>
              <w:rPr>
                <w:rFonts w:ascii="Inter" w:hAnsi="Inter"/>
                <w:color w:val="241D18"/>
                <w:sz w:val="17"/>
              </w:rPr>
              <w:t>An authorized relationship is specific to the firm, company, engagement, information, and user role concerned. Lunaseed does not treat the existence of a user account or an earlier diligence relationship as blanket permission to disclose private data across deals.</w:t>
            </w:r>
          </w:p>
        </w:tc>
      </w:tr>
    </w:tbl>
    <w:p>
      <w:pPr>
        <w:widowControl/>
        <w:spacing w:after="20"/>
      </w:pPr>
    </w:p>
    <w:p>
      <w:pPr>
        <w:widowControl/>
      </w:pPr>
      <w:r>
        <w:br w:type="page"/>
      </w:r>
    </w:p>
    <w:p>
      <w:pPr>
        <w:pStyle w:val="SecLabel"/>
        <w:widowControl/>
      </w:pPr>
      <w:r>
        <w:t>02 / TECHNICAL SAFEGUARDS</w:t>
      </w:r>
    </w:p>
    <w:p>
      <w:pPr>
        <w:pStyle w:val="SectionHeading"/>
        <w:widowControl/>
      </w:pPr>
      <w:r>
        <w:t>Encryption &amp; infrastructure security</w:t>
      </w:r>
    </w:p>
    <w:p>
      <w:pPr>
        <w:pStyle w:val="Subheading"/>
        <w:widowControl/>
      </w:pPr>
      <w:r>
        <w:t>Encryption throughout the data lifecycle</w:t>
      </w:r>
    </w:p>
    <w:p>
      <w:pPr>
        <w:widowControl/>
      </w:pPr>
      <w:r>
        <w:t>Lunaseed encrypts customer data during transmission and while stored. The at-rest protection scope includes applicable relational and document data, uploaded files, integration snapshots, and encrypted backups. These controls are designed to reduce the risk of unauthorized disclosure if information is intercepted or storage resources are accessed without authorization.</w:t>
      </w:r>
    </w:p>
    <w:p>
      <w:pPr>
        <w:pStyle w:val="Subheading"/>
        <w:widowControl/>
      </w:pPr>
      <w:r>
        <w:t>Cloud services and production storage</w:t>
      </w:r>
    </w:p>
    <w:p>
      <w:pPr>
        <w:widowControl/>
      </w:pPr>
      <w:r>
        <w:t>Lunaseed applies infrastructure safeguards to databases, object storage, application services, APIs, and production environments. Relevant production data stores include PostgreSQL, Amazon S3, MongoDB, and other systems used to deliver the platform. Access to infrastructure, configuration, and data is limited through access-control and credential-management mechanisms.</w:t>
      </w:r>
    </w:p>
    <w:p>
      <w:pPr>
        <w:pStyle w:val="Subheading"/>
        <w:widowControl/>
      </w:pPr>
      <w:r>
        <w:t>Security of applications, APIs, and credentials</w:t>
      </w:r>
    </w:p>
    <w:p>
      <w:pPr>
        <w:pStyle w:val="SecurityBullet"/>
        <w:widowControl/>
      </w:pPr>
      <w:r>
        <w:rPr>
          <w:color w:val="9C8B79"/>
        </w:rPr>
        <w:t xml:space="preserve">•  </w:t>
      </w:r>
      <w:r>
        <w:t>Protected API endpoints and server-side permission checks help prevent unauthorized actions or cross-tenant data access.</w:t>
      </w:r>
    </w:p>
    <w:p>
      <w:pPr>
        <w:pStyle w:val="SecurityBullet"/>
        <w:widowControl/>
      </w:pPr>
      <w:r>
        <w:rPr>
          <w:color w:val="9C8B79"/>
        </w:rPr>
        <w:t xml:space="preserve">•  </w:t>
      </w:r>
      <w:r>
        <w:t>Credentials, API secrets, and integration tokens are treated as sensitive operational data and restricted to authorized systems or personnel.</w:t>
      </w:r>
    </w:p>
    <w:p>
      <w:pPr>
        <w:pStyle w:val="SecurityBullet"/>
        <w:widowControl/>
      </w:pPr>
      <w:r>
        <w:rPr>
          <w:color w:val="9C8B79"/>
        </w:rPr>
        <w:t xml:space="preserve">•  </w:t>
      </w:r>
      <w:r>
        <w:t>Production configurations and cloud permissions are managed to reduce accidental exposure and unnecessary access.</w:t>
      </w:r>
    </w:p>
    <w:p>
      <w:pPr>
        <w:pStyle w:val="SecurityBullet"/>
        <w:widowControl/>
      </w:pPr>
      <w:r>
        <w:rPr>
          <w:color w:val="9C8B79"/>
        </w:rPr>
        <w:t xml:space="preserve">•  </w:t>
      </w:r>
      <w:r>
        <w:t>Security testing covers access controls, API behavior, vulnerabilities, and pathways that could expose customer information.</w:t>
      </w:r>
    </w:p>
    <w:p>
      <w:pPr>
        <w:pStyle w:val="Subheading"/>
        <w:widowControl/>
      </w:pPr>
      <w:r>
        <w:t>Service providers</w:t>
      </w:r>
    </w:p>
    <w:p>
      <w:pPr>
        <w:widowControl/>
      </w:pPr>
      <w:r>
        <w:t>Lunaseed uses service providers for selected infrastructure, integration, identity, billing, security, and AI functions. Provider access is limited to the information and processing required for the authorized service. A provider’s participation does not imply that it receives every company’s information or every category of customer data.</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SECURITY SCOPE</w:t>
            </w:r>
          </w:p>
          <w:p>
            <w:pPr>
              <w:spacing w:after="0" w:line="298" w:lineRule="auto"/>
            </w:pPr>
            <w:r>
              <w:rPr>
                <w:rFonts w:ascii="Inter" w:hAnsi="Inter"/>
                <w:color w:val="241D18"/>
                <w:sz w:val="17"/>
              </w:rPr>
              <w:t>This overview intentionally does not specify encryption algorithms, data-center locations, network topology, key-management implementation, uptime targets, or certifications that have not been separately documented and approved for customer disclosure.</w:t>
            </w:r>
          </w:p>
        </w:tc>
      </w:tr>
    </w:tbl>
    <w:p>
      <w:pPr>
        <w:widowControl/>
        <w:spacing w:after="20"/>
      </w:pPr>
    </w:p>
    <w:p>
      <w:pPr>
        <w:widowControl/>
      </w:pPr>
      <w:r>
        <w:br w:type="page"/>
      </w:r>
    </w:p>
    <w:p>
      <w:pPr>
        <w:pStyle w:val="SecLabel"/>
        <w:widowControl/>
      </w:pPr>
      <w:r>
        <w:t>03 / OPERATING-DATA ACCESS</w:t>
      </w:r>
    </w:p>
    <w:p>
      <w:pPr>
        <w:pStyle w:val="SectionHeading"/>
        <w:widowControl/>
      </w:pPr>
      <w:r>
        <w:t>Read-only integration snapshots</w:t>
      </w:r>
    </w:p>
    <w:p>
      <w:pPr>
        <w:pStyle w:val="Subheading"/>
        <w:widowControl/>
      </w:pPr>
      <w:r>
        <w:t>Company-directed connection</w:t>
      </w:r>
    </w:p>
    <w:p>
      <w:pPr>
        <w:widowControl/>
      </w:pPr>
      <w:r>
        <w:t>A company representative with the required authority initiates or approves each source-system connection. The company selects the provider, account, scope, and available historical period through the connection flow, subject to the provider’s API capabilities and permissions. The standing Integration Data Access Authorization is accepted once; each subsequent connection remains a separate company-directed action.</w:t>
      </w:r>
    </w:p>
    <w:p>
      <w:pPr>
        <w:pStyle w:val="Subheading"/>
        <w:widowControl/>
      </w:pPr>
      <w:r>
        <w:t>Point-in-time capture and disconnection</w:t>
      </w:r>
    </w:p>
    <w:p>
      <w:pPr>
        <w:widowControl/>
      </w:pPr>
      <w:r>
        <w:t>Lunaseed’s standard operating-data integration design uses read-only access to collect a defined snapshot. It does not use a standard integration connection to create, modify, approve, transfer, or delete records in the connected system. After capture, the source connection is discontinued rather than retained for continuous access, subject to limited temporary technical persistence needed to complete or verify capture or recover from an interruption.</w:t>
      </w:r>
    </w:p>
    <w:p>
      <w:pPr>
        <w:widowControl/>
      </w:pPr>
      <w:r>
        <w:t>Source providers may display permission descriptions broader than the functions Lunaseed uses. Lunaseed limits its actual use to the authorized read-only diligence purpose. A company-initiated refresh or reconnection requires the applicable operational authorization steps.</w:t>
      </w:r>
    </w:p>
    <w:p>
      <w:pPr>
        <w:pStyle w:val="Subheading"/>
        <w:widowControl/>
      </w:pPr>
      <w:r>
        <w:t>What remains after disconnection</w:t>
      </w:r>
    </w:p>
    <w:p>
      <w:pPr>
        <w:widowControl/>
      </w:pPr>
      <w:r>
        <w:t>Disconnecting source access does not erase a snapshot already lawfully captured. The snapshot, extracted facts, source references, and authorized diligence outputs may remain within the corresponding company and engagement records until applicable retention or deletion requirements take effect. A captured snapshot represents source information available at a particular time, not a live or continuously synchronized view.</w:t>
      </w:r>
    </w:p>
    <w:p>
      <w:pPr>
        <w:pStyle w:val="Subheading"/>
        <w:widowControl/>
      </w:pPr>
      <w:r>
        <w:t>Connection information and accountability</w:t>
      </w:r>
    </w:p>
    <w:p>
      <w:pPr>
        <w:widowControl/>
      </w:pPr>
      <w:r>
        <w:t>Relevant records may include the connected provider, source-account identifier, selected scope, initiating user, timestamps, and related authorization events. These records support traceability, security review, and the administration of company-directed integrations.</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SEPARATE PERMISSIONS</w:t>
            </w:r>
          </w:p>
          <w:p>
            <w:pPr>
              <w:spacing w:after="0" w:line="298" w:lineRule="auto"/>
            </w:pPr>
            <w:r>
              <w:rPr>
                <w:rFonts w:ascii="Inter" w:hAnsi="Inter"/>
                <w:color w:val="241D18"/>
                <w:sz w:val="17"/>
              </w:rPr>
              <w:t>Authorization to connect a company’s operating system is not, by itself, authorization to share the resulting data with a particular venture firm. Disclosure is governed separately by the engagement-specific Diligence Data Sharing Authorization and workspace permissions.</w:t>
            </w:r>
          </w:p>
        </w:tc>
      </w:tr>
    </w:tbl>
    <w:p>
      <w:pPr>
        <w:widowControl/>
        <w:spacing w:after="20"/>
      </w:pPr>
    </w:p>
    <w:p>
      <w:pPr>
        <w:widowControl/>
      </w:pPr>
      <w:r>
        <w:br w:type="page"/>
      </w:r>
    </w:p>
    <w:p>
      <w:pPr>
        <w:pStyle w:val="SecLabel"/>
        <w:widowControl/>
      </w:pPr>
      <w:r>
        <w:t>04 / AUTHORIZED DISCLOSURE</w:t>
      </w:r>
    </w:p>
    <w:p>
      <w:pPr>
        <w:pStyle w:val="SectionHeading"/>
        <w:widowControl/>
      </w:pPr>
      <w:r>
        <w:t>Company consent &amp; information sharing</w:t>
      </w:r>
    </w:p>
    <w:p>
      <w:pPr>
        <w:pStyle w:val="Subheading"/>
        <w:widowControl/>
      </w:pPr>
      <w:r>
        <w:t>Engagement-specific authorization</w:t>
      </w:r>
    </w:p>
    <w:p>
      <w:pPr>
        <w:widowControl/>
      </w:pPr>
      <w:r>
        <w:t>Lunaseed uses a Diligence Data Sharing Authorization tied to the requesting firm and specific engagement. An authorized company representative approves the relevant sharing relationship. Accepting an invitation or request and submitting the completed diligence response are separate workflow events; acceptance does not, by itself, constitute final submission of all requested material.</w:t>
      </w:r>
    </w:p>
    <w:p>
      <w:pPr>
        <w:widowControl/>
      </w:pPr>
      <w:r>
        <w:t>The authorized diligence record can include selected or submitted documents, integration-derived information, company and contributor responses, source-linked Fact Sheets, Carter responses, Investigation reports, and follow-up materials. Access is limited by the scope of authorization and by roles and permissions within the requesting firm’s workspace.</w:t>
      </w:r>
    </w:p>
    <w:p>
      <w:pPr>
        <w:pStyle w:val="Subheading"/>
        <w:widowControl/>
      </w:pPr>
      <w:r>
        <w:t>Founders, contributors, and recipients</w:t>
      </w:r>
    </w:p>
    <w:p>
      <w:pPr>
        <w:pStyle w:val="SecurityBullet"/>
        <w:widowControl/>
      </w:pPr>
      <w:r>
        <w:rPr>
          <w:color w:val="9C8B79"/>
        </w:rPr>
        <w:t xml:space="preserve">•  </w:t>
      </w:r>
      <w:r>
        <w:t>A company’s authorized representatives determine which permitted material to provide for a specific engagement and are responsible for having rights to share that information.</w:t>
      </w:r>
    </w:p>
    <w:p>
      <w:pPr>
        <w:pStyle w:val="SecurityBullet"/>
        <w:widowControl/>
      </w:pPr>
      <w:r>
        <w:rPr>
          <w:color w:val="9C8B79"/>
        </w:rPr>
        <w:t xml:space="preserve">•  </w:t>
      </w:r>
      <w:r>
        <w:t>Firm personnel, invited reviewers, and external contributors may receive only the access permitted for their authorized workspace and purpose.</w:t>
      </w:r>
    </w:p>
    <w:p>
      <w:pPr>
        <w:pStyle w:val="SecurityBullet"/>
        <w:widowControl/>
      </w:pPr>
      <w:r>
        <w:rPr>
          <w:color w:val="9C8B79"/>
        </w:rPr>
        <w:t xml:space="preserve">•  </w:t>
      </w:r>
      <w:r>
        <w:t>Contributor confidentiality obligations supplement the platform’s technical permissions.</w:t>
      </w:r>
    </w:p>
    <w:p>
      <w:pPr>
        <w:pStyle w:val="SecurityBullet"/>
        <w:widowControl/>
      </w:pPr>
      <w:r>
        <w:rPr>
          <w:color w:val="9C8B79"/>
        </w:rPr>
        <w:t xml:space="preserve">•  </w:t>
      </w:r>
      <w:r>
        <w:t>Founder verification requires separate disclosures and authorizations; verification information is shared only within the scope permitted by that process and applicable law.</w:t>
      </w:r>
    </w:p>
    <w:p>
      <w:pPr>
        <w:pStyle w:val="Subheading"/>
        <w:widowControl/>
      </w:pPr>
      <w:r>
        <w:t>Copies outside the platform</w:t>
      </w:r>
    </w:p>
    <w:p>
      <w:pPr>
        <w:widowControl/>
      </w:pPr>
      <w:r>
        <w:t>A recipient may lawfully download or export information where platform functionality and authorization permit. Once data is held in a requesting firm’s own systems, Lunaseed may not be able to retrieve, control, or delete those independently held copies. Separate confidentiality, professional, recordkeeping, or legal obligations may continue to apply to that recipient.</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NO TRANSFER OF OWNERSHIP</w:t>
            </w:r>
          </w:p>
          <w:p>
            <w:pPr>
              <w:spacing w:after="0" w:line="298" w:lineRule="auto"/>
            </w:pPr>
            <w:r>
              <w:rPr>
                <w:rFonts w:ascii="Inter" w:hAnsi="Inter"/>
                <w:color w:val="241D18"/>
                <w:sz w:val="17"/>
              </w:rPr>
              <w:t>Companies retain their ownership rights in submitted company materials. Providing diligence information through Lunaseed does not transfer ownership to Lunaseed or create unlimited rights for another party to use the information outside the authorized purpose.</w:t>
            </w:r>
          </w:p>
        </w:tc>
      </w:tr>
    </w:tbl>
    <w:p>
      <w:pPr>
        <w:widowControl/>
        <w:spacing w:after="20"/>
      </w:pPr>
    </w:p>
    <w:p>
      <w:pPr>
        <w:widowControl/>
      </w:pPr>
      <w:r>
        <w:br w:type="page"/>
      </w:r>
    </w:p>
    <w:p>
      <w:pPr>
        <w:pStyle w:val="SecLabel"/>
        <w:widowControl/>
      </w:pPr>
      <w:r>
        <w:t>05 / MODEL PROCESSING</w:t>
      </w:r>
    </w:p>
    <w:p>
      <w:pPr>
        <w:pStyle w:val="SectionHeading"/>
        <w:widowControl/>
      </w:pPr>
      <w:r>
        <w:t>AI data protection</w:t>
      </w:r>
    </w:p>
    <w:p>
      <w:pPr>
        <w:pStyle w:val="Subheading"/>
        <w:widowControl/>
      </w:pPr>
      <w:r>
        <w:t>Purpose-limited AI processing</w:t>
      </w:r>
    </w:p>
    <w:p>
      <w:pPr>
        <w:widowControl/>
      </w:pPr>
      <w:r>
        <w:t>AI-assisted functions help organize and examine authorized diligence evidence through classification, extraction, search, Fact Sheets, Carter, Investigations, and drafting workflows. Model outputs are supporting material for professional review; Lunaseed does not make investment decisions on behalf of venture firms and does not independently certify the accuracy of all underlying company records.</w:t>
      </w:r>
    </w:p>
    <w:p>
      <w:pPr>
        <w:pStyle w:val="Subheading"/>
        <w:widowControl/>
      </w:pPr>
      <w:r>
        <w:t>AWS Bedrock and approved models</w:t>
      </w:r>
    </w:p>
    <w:p>
      <w:pPr>
        <w:widowControl/>
      </w:pPr>
      <w:r>
        <w:t>Production AI-model processing for the covered diligence workflows is routed through AWS Bedrock, including Claude Sonnet and other models approved for the relevant workflow. Access to model invocation is governed by restricted AWS Identity and Access Management (IAM) permissions and the applicable application-level authorization context.</w:t>
      </w:r>
    </w:p>
    <w:p>
      <w:pPr>
        <w:pStyle w:val="Subheading"/>
        <w:widowControl/>
      </w:pPr>
      <w:r>
        <w:t>Training and content-use restrictions</w:t>
      </w:r>
    </w:p>
    <w:p>
      <w:pPr>
        <w:widowControl/>
      </w:pPr>
      <w:r>
        <w:t>Lunaseed does not use customer content to train generalized AI or foundation models. Customer documents, company records, integration snapshots, prompts, and generated responses are processed to provide authorized platform functionality, not contributed as customer-specific training data for such models.</w:t>
      </w:r>
    </w:p>
    <w:p>
      <w:pPr>
        <w:pStyle w:val="Subheading"/>
        <w:widowControl/>
      </w:pPr>
      <w:r>
        <w:t>Prompt and response handling</w:t>
      </w:r>
    </w:p>
    <w:p>
      <w:pPr>
        <w:widowControl/>
      </w:pPr>
      <w:r>
        <w:t>Lunaseed applies controls intended to avoid unnecessary logging or retention of sensitive prompts and responses. Access to AI processing and related operational records is restricted. Data may be retained as part of the authorized diligence record, or as limited operational or security information, where required to provide the service or meet applicable obligations.</w:t>
      </w:r>
    </w:p>
    <w:p>
      <w:pPr>
        <w:pStyle w:val="Subheading"/>
        <w:widowControl/>
      </w:pPr>
      <w:r>
        <w:t>Evidence and human accountability</w:t>
      </w:r>
    </w:p>
    <w:p>
      <w:pPr>
        <w:widowControl/>
      </w:pPr>
      <w:r>
        <w:t>Fact Sheets and investigation outputs preserve underlying citations and may identify inconsistent evidence. Lunaseed presents source-linked information for the requesting firm’s independent analysis rather than substituting automated investment, legal, or compliance judgment.</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PROCESSING BOUNDARIES</w:t>
            </w:r>
          </w:p>
          <w:p>
            <w:pPr>
              <w:spacing w:after="0" w:line="298" w:lineRule="auto"/>
            </w:pPr>
            <w:r>
              <w:rPr>
                <w:rFonts w:ascii="Inter" w:hAnsi="Inter"/>
                <w:color w:val="241D18"/>
                <w:sz w:val="17"/>
              </w:rPr>
              <w:t>AI providers and infrastructure partners are involved only as necessary for applicable features. The data shared depends on the selected workflow; no statement in this overview should be interpreted to mean that every model or service provider receives all customer information.</w:t>
            </w:r>
          </w:p>
        </w:tc>
      </w:tr>
    </w:tbl>
    <w:p>
      <w:pPr>
        <w:widowControl/>
        <w:spacing w:after="20"/>
      </w:pPr>
    </w:p>
    <w:p>
      <w:pPr>
        <w:widowControl/>
      </w:pPr>
      <w:r>
        <w:br w:type="page"/>
      </w:r>
    </w:p>
    <w:p>
      <w:pPr>
        <w:pStyle w:val="SecLabel"/>
        <w:widowControl/>
      </w:pPr>
      <w:r>
        <w:t>06 / DATA LIFECYCLE</w:t>
      </w:r>
    </w:p>
    <w:p>
      <w:pPr>
        <w:pStyle w:val="SectionHeading"/>
        <w:widowControl/>
      </w:pPr>
      <w:r>
        <w:t>Retention, export &amp; deletion</w:t>
      </w:r>
    </w:p>
    <w:p>
      <w:pPr>
        <w:widowControl/>
      </w:pPr>
      <w:r>
        <w:t>Lunaseed generally retains customer information while the relevant account or diligence engagement remains active and the information is needed to provide the service, subject to valid deletion requests and applicable contractual or legal obligations. The following periods describe Lunaseed-controlled copies; they do not automatically control third-party systems or recipients’ independent copies.</w:t>
      </w:r>
    </w:p>
    <w:tbl>
      <w:tblPr>
        <w:tblW w:type="auto" w:w="0"/>
        <w:jc w:val="center"/>
        <w:tblLayout w:type="fixed"/>
        <w:tblLook w:firstColumn="1" w:firstRow="1" w:lastColumn="0" w:lastRow="0" w:noHBand="0" w:noVBand="1" w:val="04A0"/>
      </w:tblPr>
      <w:tblGrid>
        <w:gridCol w:w="3053"/>
        <w:gridCol w:w="3053"/>
        <w:gridCol w:w="3053"/>
      </w:tblGrid>
      <w:tr>
        <w:trPr>
          <w:tblHeader w:val="true"/>
          <w:cantSplit/>
          <w:cantSplit/>
        </w:trPr>
        <w:tc>
          <w:tcPr>
            <w:tcW w:type="dxa" w:w="2088"/>
            <w:shd w:fill="241D18"/>
            <w:tcMar>
              <w:top w:w="115" w:type="dxa"/>
              <w:start w:w="115" w:type="dxa"/>
              <w:bottom w:w="115" w:type="dxa"/>
              <w:end w:w="115" w:type="dxa"/>
            </w:tcMar>
          </w:tcPr>
          <w:p>
            <w:pPr>
              <w:spacing w:after="0"/>
            </w:pPr>
            <w:r>
              <w:rPr>
                <w:rFonts w:ascii="Inter" w:hAnsi="Inter"/>
                <w:b/>
                <w:color w:val="FFFFFF"/>
                <w:sz w:val="14"/>
              </w:rPr>
              <w:t>EVENT</w:t>
            </w:r>
          </w:p>
        </w:tc>
        <w:tc>
          <w:tcPr>
            <w:tcW w:type="dxa" w:w="5184"/>
            <w:shd w:fill="241D18"/>
            <w:tcMar>
              <w:top w:w="115" w:type="dxa"/>
              <w:start w:w="115" w:type="dxa"/>
              <w:bottom w:w="115" w:type="dxa"/>
              <w:end w:w="115" w:type="dxa"/>
            </w:tcMar>
          </w:tcPr>
          <w:p>
            <w:pPr>
              <w:spacing w:after="0"/>
            </w:pPr>
            <w:r>
              <w:rPr>
                <w:rFonts w:ascii="Inter" w:hAnsi="Inter"/>
                <w:b/>
                <w:color w:val="FFFFFF"/>
                <w:sz w:val="14"/>
              </w:rPr>
              <w:t>STANDARD TREATMENT</w:t>
            </w:r>
          </w:p>
        </w:tc>
        <w:tc>
          <w:tcPr>
            <w:tcW w:type="dxa" w:w="1872"/>
            <w:shd w:fill="241D18"/>
            <w:tcMar>
              <w:top w:w="115" w:type="dxa"/>
              <w:start w:w="115" w:type="dxa"/>
              <w:bottom w:w="115" w:type="dxa"/>
              <w:end w:w="115" w:type="dxa"/>
            </w:tcMar>
          </w:tcPr>
          <w:p>
            <w:pPr>
              <w:spacing w:after="0"/>
            </w:pPr>
            <w:r>
              <w:rPr>
                <w:rFonts w:ascii="Inter" w:hAnsi="Inter"/>
                <w:b/>
                <w:color w:val="FFFFFF"/>
                <w:sz w:val="14"/>
              </w:rPr>
              <w:t>TIMING</w:t>
            </w:r>
          </w:p>
        </w:tc>
      </w:tr>
      <w:tr>
        <w:trPr>
          <w:cantSplit/>
          <w:cantSplit/>
        </w:trPr>
        <w:tc>
          <w:tcPr>
            <w:tcW w:type="dxa" w:w="2088"/>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Active account / engagement</w:t>
            </w:r>
          </w:p>
        </w:tc>
        <w:tc>
          <w:tcPr>
            <w:tcW w:type="dxa" w:w="518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Retain applicable records for the authorized service, subject to policy, contractual terms, and earlier valid deletion requests.</w:t>
            </w:r>
          </w:p>
        </w:tc>
        <w:tc>
          <w:tcPr>
            <w:tcW w:type="dxa" w:w="187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While active</w:t>
            </w:r>
          </w:p>
        </w:tc>
      </w:tr>
      <w:tr>
        <w:trPr>
          <w:cantSplit/>
          <w:cantSplit/>
        </w:trPr>
        <w:tc>
          <w:tcPr>
            <w:tcW w:type="dxa" w:w="2088"/>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Valid deletion request</w:t>
            </w:r>
          </w:p>
        </w:tc>
        <w:tc>
          <w:tcPr>
            <w:tcW w:type="dxa" w:w="518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Remove applicable customer data from active production storage, including PostgreSQL, S3, MongoDB, snapshots, and other active stores, subject to permitted exceptions.</w:t>
            </w:r>
          </w:p>
        </w:tc>
        <w:tc>
          <w:tcPr>
            <w:tcW w:type="dxa" w:w="187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Within 30 days</w:t>
            </w:r>
          </w:p>
        </w:tc>
      </w:tr>
      <w:tr>
        <w:trPr>
          <w:cantSplit/>
          <w:cantSplit/>
        </w:trPr>
        <w:tc>
          <w:tcPr>
            <w:tcW w:type="dxa" w:w="2088"/>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Account termination without separate deletion request</w:t>
            </w:r>
          </w:p>
        </w:tc>
        <w:tc>
          <w:tcPr>
            <w:tcW w:type="dxa" w:w="518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Provide an export/recovery opportunity where applicable, followed by deletion or de-identification of applicable content from active systems.</w:t>
            </w:r>
          </w:p>
        </w:tc>
        <w:tc>
          <w:tcPr>
            <w:tcW w:type="dxa" w:w="187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30-day window; within 90 days of termination</w:t>
            </w:r>
          </w:p>
        </w:tc>
      </w:tr>
      <w:tr>
        <w:trPr>
          <w:cantSplit/>
          <w:cantSplit/>
        </w:trPr>
        <w:tc>
          <w:tcPr>
            <w:tcW w:type="dxa" w:w="2088"/>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Encrypted rolling backups</w:t>
            </w:r>
          </w:p>
        </w:tc>
        <w:tc>
          <w:tcPr>
            <w:tcW w:type="dxa" w:w="518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Expire or overwrite backups automatically. Deletion from active stores may precede expiry of the relevant backup copy.</w:t>
            </w:r>
          </w:p>
        </w:tc>
        <w:tc>
          <w:tcPr>
            <w:tcW w:type="dxa" w:w="187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Up to 35 days</w:t>
            </w:r>
          </w:p>
        </w:tc>
      </w:tr>
    </w:tbl>
    <w:p>
      <w:pPr>
        <w:widowControl/>
        <w:spacing w:after="0"/>
      </w:pPr>
    </w:p>
    <w:p>
      <w:pPr>
        <w:pStyle w:val="Subheading"/>
        <w:widowControl/>
      </w:pPr>
      <w:r>
        <w:t>Exceptions and retained records</w:t>
      </w:r>
    </w:p>
    <w:p>
      <w:pPr>
        <w:widowControl/>
      </w:pPr>
      <w:r>
        <w:t>Limited information may be retained when required or reasonably necessary for applicable law, financial or tax obligations, billing, fraud prevention, security, audits, disputes, or the enforcement of agreements. Any such retention should be limited to the relevant purpose and handled under applicable safeguards.</w:t>
      </w:r>
    </w:p>
    <w:p>
      <w:pPr>
        <w:pStyle w:val="Subheading"/>
        <w:widowControl/>
      </w:pPr>
      <w:r>
        <w:t>What deletion covers—and does not cover</w:t>
      </w:r>
    </w:p>
    <w:p>
      <w:pPr>
        <w:widowControl/>
      </w:pPr>
      <w:r>
        <w:t>A verified and valid request applies to data under Lunaseed’s control that is within the request’s scope. It does not automatically revoke completed lawful disclosures, delete independent copies held by requesting firms or source providers, or erase records Lunaseed is permitted or required to preserve. The company or requester may be asked to confirm authority before the request is fulfilled.</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IMPORTANT TIMING DISTINCTION</w:t>
            </w:r>
          </w:p>
          <w:p>
            <w:pPr>
              <w:spacing w:after="0" w:line="298" w:lineRule="auto"/>
            </w:pPr>
            <w:r>
              <w:rPr>
                <w:rFonts w:ascii="Inter" w:hAnsi="Inter"/>
                <w:color w:val="241D18"/>
                <w:sz w:val="17"/>
              </w:rPr>
              <w:t>The 30-day deletion timeline concerns applicable active production stores after a valid deletion request. Encrypted backups can retain historical copies until they automatically expire within their separate 35-day lifecycle. The 90-day period addresses termination without a separate deletion request.</w:t>
            </w:r>
          </w:p>
        </w:tc>
      </w:tr>
    </w:tbl>
    <w:p>
      <w:pPr>
        <w:widowControl/>
        <w:spacing w:after="20"/>
      </w:pPr>
    </w:p>
    <w:p>
      <w:pPr>
        <w:widowControl/>
      </w:pPr>
      <w:r>
        <w:br w:type="page"/>
      </w:r>
    </w:p>
    <w:p>
      <w:pPr>
        <w:pStyle w:val="SecLabel"/>
        <w:widowControl/>
      </w:pPr>
      <w:r>
        <w:t>07 / SECURITY OPERATIONS</w:t>
      </w:r>
    </w:p>
    <w:p>
      <w:pPr>
        <w:pStyle w:val="SectionHeading"/>
        <w:widowControl/>
      </w:pPr>
      <w:r>
        <w:t>Monitoring, logging &amp; resilience</w:t>
      </w:r>
    </w:p>
    <w:p>
      <w:pPr>
        <w:pStyle w:val="Subheading"/>
        <w:widowControl/>
      </w:pPr>
      <w:r>
        <w:t>Security monitoring and auditability</w:t>
      </w:r>
    </w:p>
    <w:p>
      <w:pPr>
        <w:widowControl/>
      </w:pPr>
      <w:r>
        <w:t>Lunaseed maintains logging and monitoring for significant authentication activity, sensitive data access, security-relevant events, and important workspace or authorization actions. Audit records support investigation of suspected unauthorized access, operational troubleshooting, accountability, and evidence of relevant user approvals or submissions.</w:t>
      </w:r>
    </w:p>
    <w:p>
      <w:pPr>
        <w:widowControl/>
      </w:pPr>
      <w:r>
        <w:t>Monitoring and alerting are used to identify suspicious access or activity that may require review. Access to audit information is restricted according to role and operational need, and sensitive content is not logged indiscriminately.</w:t>
      </w:r>
    </w:p>
    <w:p>
      <w:pPr>
        <w:pStyle w:val="Subheading"/>
        <w:widowControl/>
      </w:pPr>
      <w:r>
        <w:t>Backup protection</w:t>
      </w:r>
    </w:p>
    <w:p>
      <w:pPr>
        <w:widowControl/>
      </w:pPr>
      <w:r>
        <w:t>Encrypted backups support recovery from data loss or disruption. Rolling backups are subject to automatic expiration after 35 days. Backup repositories and access mechanisms are protected to reduce the risk of unauthorized retrieval, disclosure, or modification.</w:t>
      </w:r>
    </w:p>
    <w:p>
      <w:pPr>
        <w:pStyle w:val="Subheading"/>
        <w:widowControl/>
      </w:pPr>
      <w:r>
        <w:t>Restoration and recovery</w:t>
      </w:r>
    </w:p>
    <w:p>
      <w:pPr>
        <w:widowControl/>
      </w:pPr>
      <w:r>
        <w:t>Lunaseed tests successful restoration as part of its backup and recovery practices. Recovery activities are administered through controlled access and aim to restore service and data integrity following an operational incident. Exact recovery objectives, service commitments, and disaster-recovery arrangements are governed by applicable customer agreements, where provided.</w:t>
      </w:r>
    </w:p>
    <w:p>
      <w:pPr>
        <w:pStyle w:val="Subheading"/>
        <w:widowControl/>
      </w:pPr>
      <w:r>
        <w:t>Operational oversight</w:t>
      </w:r>
    </w:p>
    <w:p>
      <w:pPr>
        <w:pStyle w:val="SecurityBullet"/>
        <w:widowControl/>
      </w:pPr>
      <w:r>
        <w:rPr>
          <w:color w:val="9C8B79"/>
        </w:rPr>
        <w:t xml:space="preserve">•  </w:t>
      </w:r>
      <w:r>
        <w:t>Maintain visibility into relevant authentication and access-control failures.</w:t>
      </w:r>
    </w:p>
    <w:p>
      <w:pPr>
        <w:pStyle w:val="SecurityBullet"/>
        <w:widowControl/>
      </w:pPr>
      <w:r>
        <w:rPr>
          <w:color w:val="9C8B79"/>
        </w:rPr>
        <w:t xml:space="preserve">•  </w:t>
      </w:r>
      <w:r>
        <w:t>Review suspicious events and take action when security controls indicate a possible incident.</w:t>
      </w:r>
    </w:p>
    <w:p>
      <w:pPr>
        <w:pStyle w:val="SecurityBullet"/>
        <w:widowControl/>
      </w:pPr>
      <w:r>
        <w:rPr>
          <w:color w:val="9C8B79"/>
        </w:rPr>
        <w:t xml:space="preserve">•  </w:t>
      </w:r>
      <w:r>
        <w:t>Restrict administrative access to systems involved in logging, backups, recovery, and sensitive configuration changes.</w:t>
      </w:r>
    </w:p>
    <w:p>
      <w:pPr>
        <w:pStyle w:val="SecurityBullet"/>
        <w:widowControl/>
      </w:pPr>
      <w:r>
        <w:rPr>
          <w:color w:val="9C8B79"/>
        </w:rPr>
        <w:t xml:space="preserve">•  </w:t>
      </w:r>
      <w:r>
        <w:t>Maintain evidence supporting access, authorizations, and material diligence actions when required for security or contractual purposes.</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NOT AN UPTIME PROMISE</w:t>
            </w:r>
          </w:p>
          <w:p>
            <w:pPr>
              <w:spacing w:after="0" w:line="298" w:lineRule="auto"/>
            </w:pPr>
            <w:r>
              <w:rPr>
                <w:rFonts w:ascii="Inter" w:hAnsi="Inter"/>
                <w:color w:val="241D18"/>
                <w:sz w:val="17"/>
              </w:rPr>
              <w:t>This overview describes security and recovery controls. It does not establish a guaranteed availability percentage, specific recovery-time objective, or fixed incident-notification deadline. Any such commitments must be set out in the applicable written agreement.</w:t>
            </w:r>
          </w:p>
        </w:tc>
      </w:tr>
    </w:tbl>
    <w:p>
      <w:pPr>
        <w:widowControl/>
        <w:spacing w:after="20"/>
      </w:pPr>
    </w:p>
    <w:p>
      <w:pPr>
        <w:widowControl/>
      </w:pPr>
      <w:r>
        <w:br w:type="page"/>
      </w:r>
    </w:p>
    <w:p>
      <w:pPr>
        <w:pStyle w:val="SecLabel"/>
        <w:widowControl/>
      </w:pPr>
      <w:r>
        <w:t>08 / ASSURANCE</w:t>
      </w:r>
    </w:p>
    <w:p>
      <w:pPr>
        <w:pStyle w:val="SectionHeading"/>
        <w:widowControl/>
      </w:pPr>
      <w:r>
        <w:t>Security testing &amp; incident response</w:t>
      </w:r>
    </w:p>
    <w:p>
      <w:pPr>
        <w:pStyle w:val="Subheading"/>
        <w:widowControl/>
      </w:pPr>
      <w:r>
        <w:t>Technical security validation</w:t>
      </w:r>
    </w:p>
    <w:p>
      <w:pPr>
        <w:widowControl/>
      </w:pPr>
      <w:r>
        <w:t>Lunaseed tests security controls relevant to its multi-tenant, source-linked diligence platform. The testing scope includes API authorization, role enforcement, access to another firm’s or engagement’s information, exposed vulnerabilities, and potential pathways for data leakage. Findings are addressed through the platform’s security and engineering processes.</w:t>
      </w:r>
    </w:p>
    <w:p>
      <w:pPr>
        <w:pStyle w:val="Subheading"/>
        <w:widowControl/>
      </w:pPr>
      <w:r>
        <w:t>Incident-response process</w:t>
      </w:r>
    </w:p>
    <w:p>
      <w:pPr>
        <w:widowControl/>
      </w:pPr>
      <w:r>
        <w:t>Lunaseed maintains a process for identifying, investigating, containing, and responding to security incidents. Where an issue is confirmed, the response is directed toward limiting further exposure, assessing scope, remediating the underlying problem, preserving appropriate evidence, and restoring safe operations.</w:t>
      </w:r>
    </w:p>
    <w:tbl>
      <w:tblPr>
        <w:tblW w:type="auto" w:w="0"/>
        <w:jc w:val="center"/>
        <w:tblLayout w:type="fixed"/>
        <w:tblLook w:firstColumn="1" w:firstRow="1" w:lastColumn="0" w:lastRow="0" w:noHBand="0" w:noVBand="1" w:val="04A0"/>
      </w:tblPr>
      <w:tblGrid>
        <w:gridCol w:w="4579"/>
        <w:gridCol w:w="4579"/>
      </w:tblGrid>
      <w:tr>
        <w:trPr>
          <w:tblHeader w:val="true"/>
          <w:cantSplit/>
          <w:cantSplit/>
        </w:trPr>
        <w:tc>
          <w:tcPr>
            <w:tcW w:type="dxa" w:w="2448"/>
            <w:shd w:fill="241D18"/>
            <w:tcMar>
              <w:top w:w="115" w:type="dxa"/>
              <w:start w:w="115" w:type="dxa"/>
              <w:bottom w:w="115" w:type="dxa"/>
              <w:end w:w="115" w:type="dxa"/>
            </w:tcMar>
          </w:tcPr>
          <w:p>
            <w:pPr>
              <w:spacing w:after="0"/>
            </w:pPr>
            <w:r>
              <w:rPr>
                <w:rFonts w:ascii="Inter" w:hAnsi="Inter"/>
                <w:b/>
                <w:color w:val="FFFFFF"/>
                <w:sz w:val="14"/>
              </w:rPr>
              <w:t>PHASE</w:t>
            </w:r>
          </w:p>
        </w:tc>
        <w:tc>
          <w:tcPr>
            <w:tcW w:type="dxa" w:w="6696"/>
            <w:shd w:fill="241D18"/>
            <w:tcMar>
              <w:top w:w="115" w:type="dxa"/>
              <w:start w:w="115" w:type="dxa"/>
              <w:bottom w:w="115" w:type="dxa"/>
              <w:end w:w="115" w:type="dxa"/>
            </w:tcMar>
          </w:tcPr>
          <w:p>
            <w:pPr>
              <w:spacing w:after="0"/>
            </w:pPr>
            <w:r>
              <w:rPr>
                <w:rFonts w:ascii="Inter" w:hAnsi="Inter"/>
                <w:b/>
                <w:color w:val="FFFFFF"/>
                <w:sz w:val="14"/>
              </w:rPr>
              <w:t>OPERATIONAL FOCUS</w:t>
            </w:r>
          </w:p>
        </w:tc>
      </w:tr>
      <w:tr>
        <w:trPr>
          <w:cantSplit/>
          <w:cantSplit/>
        </w:trPr>
        <w:tc>
          <w:tcPr>
            <w:tcW w:type="dxa" w:w="2448"/>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6"/>
              </w:rPr>
              <w:t>Identify &amp; triage</w:t>
            </w:r>
          </w:p>
        </w:tc>
        <w:tc>
          <w:tcPr>
            <w:tcW w:type="dxa" w:w="6696"/>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6"/>
              </w:rPr>
              <w:t>Review relevant alerts, reports, logs, and indicators of compromise; assess scope and severity.</w:t>
            </w:r>
          </w:p>
        </w:tc>
      </w:tr>
      <w:tr>
        <w:trPr>
          <w:cantSplit/>
          <w:cantSplit/>
        </w:trPr>
        <w:tc>
          <w:tcPr>
            <w:tcW w:type="dxa" w:w="2448"/>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6"/>
              </w:rPr>
              <w:t>Contain &amp; investigate</w:t>
            </w:r>
          </w:p>
        </w:tc>
        <w:tc>
          <w:tcPr>
            <w:tcW w:type="dxa" w:w="6696"/>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6"/>
              </w:rPr>
              <w:t>Restrict affected access or systems where warranted and examine possible unauthorized activity.</w:t>
            </w:r>
          </w:p>
        </w:tc>
      </w:tr>
      <w:tr>
        <w:trPr>
          <w:cantSplit/>
          <w:cantSplit/>
        </w:trPr>
        <w:tc>
          <w:tcPr>
            <w:tcW w:type="dxa" w:w="2448"/>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6"/>
              </w:rPr>
              <w:t>Remediate &amp; recover</w:t>
            </w:r>
          </w:p>
        </w:tc>
        <w:tc>
          <w:tcPr>
            <w:tcW w:type="dxa" w:w="6696"/>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6"/>
              </w:rPr>
              <w:t>Address root causes, validate the effectiveness of fixes, and restore affected service securely.</w:t>
            </w:r>
          </w:p>
        </w:tc>
      </w:tr>
      <w:tr>
        <w:trPr>
          <w:cantSplit/>
          <w:cantSplit/>
        </w:trPr>
        <w:tc>
          <w:tcPr>
            <w:tcW w:type="dxa" w:w="2448"/>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6"/>
              </w:rPr>
              <w:t>Communicate &amp; learn</w:t>
            </w:r>
          </w:p>
        </w:tc>
        <w:tc>
          <w:tcPr>
            <w:tcW w:type="dxa" w:w="6696"/>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6"/>
              </w:rPr>
              <w:t>Provide notices when legally or contractually required and improve controls in light of findings.</w:t>
            </w:r>
          </w:p>
        </w:tc>
      </w:tr>
    </w:tbl>
    <w:p>
      <w:pPr>
        <w:widowControl/>
        <w:spacing w:after="0"/>
      </w:pPr>
    </w:p>
    <w:p>
      <w:pPr>
        <w:pStyle w:val="Subheading"/>
        <w:widowControl/>
      </w:pPr>
      <w:r>
        <w:t>Privacy and confidentiality in incident handling</w:t>
      </w:r>
    </w:p>
    <w:p>
      <w:pPr>
        <w:widowControl/>
      </w:pPr>
      <w:r>
        <w:t>Incident records and investigative access are limited to authorized personnel and providers with a legitimate operational role. Customer communications and notification obligations are evaluated under applicable law, the nature of the incident, and relevant contractual requirements.</w:t>
      </w:r>
    </w:p>
    <w:tbl>
      <w:tblPr>
        <w:tblW w:type="auto" w:w="0"/>
        <w:tblLayout w:type="fixed"/>
        <w:tblLook w:firstColumn="1" w:firstRow="1" w:lastColumn="0" w:lastRow="0" w:noHBand="0" w:noVBand="1" w:val="04A0"/>
      </w:tblPr>
      <w:tblGrid>
        <w:gridCol w:w="9144"/>
      </w:tblGrid>
      <w:tr>
        <w:trPr>
          <w:cantSplit/>
        </w:trPr>
        <w:tc>
          <w:tcPr>
            <w:tcW w:type="dxa" w:w="9158"/>
            <w:shd w:fill="F7F4EF"/>
            <w:tcMar>
              <w:top w:w="145" w:type="dxa"/>
              <w:start w:w="210" w:type="dxa"/>
              <w:bottom w:w="150" w:type="dxa"/>
              <w:end w:w="210" w:type="dxa"/>
            </w:tcMar>
          </w:tcPr>
          <w:p>
            <w:pPr>
              <w:spacing w:after="120"/>
            </w:pPr>
            <w:r>
              <w:rPr>
                <w:rFonts w:ascii="Inter" w:hAnsi="Inter"/>
                <w:b/>
                <w:color w:val="9C8B79"/>
                <w:sz w:val="15"/>
              </w:rPr>
              <w:t>ASSURANCE BOUNDARIES</w:t>
            </w:r>
          </w:p>
          <w:p>
            <w:pPr>
              <w:spacing w:after="0" w:line="298" w:lineRule="auto"/>
            </w:pPr>
            <w:r>
              <w:rPr>
                <w:rFonts w:ascii="Inter" w:hAnsi="Inter"/>
                <w:color w:val="241D18"/>
                <w:sz w:val="17"/>
              </w:rPr>
              <w:t>Lunaseed does not represent in this document that it holds SOC 2, ISO 27001, or any other independent security certification. If a customer needs a certification, audit report, penetration-test summary, or contractual security schedule, availability and sharing conditions should be confirmed directly with Lunaseed.</w:t>
            </w:r>
          </w:p>
        </w:tc>
      </w:tr>
    </w:tbl>
    <w:p>
      <w:pPr>
        <w:widowControl/>
        <w:spacing w:after="20"/>
      </w:pPr>
    </w:p>
    <w:p>
      <w:pPr>
        <w:widowControl/>
      </w:pPr>
      <w:r>
        <w:br w:type="page"/>
      </w:r>
    </w:p>
    <w:p>
      <w:pPr>
        <w:pStyle w:val="SecLabel"/>
        <w:widowControl/>
      </w:pPr>
      <w:r>
        <w:t>09 / SHARED RESPONSIBILITY</w:t>
      </w:r>
    </w:p>
    <w:p>
      <w:pPr>
        <w:pStyle w:val="SectionHeading"/>
        <w:widowControl/>
      </w:pPr>
      <w:r>
        <w:t>Customer controls &amp; contractual framework</w:t>
      </w:r>
    </w:p>
    <w:p>
      <w:pPr>
        <w:pStyle w:val="Subheading"/>
        <w:widowControl/>
      </w:pPr>
      <w:r>
        <w:t>Company and founder responsibilities</w:t>
      </w:r>
    </w:p>
    <w:p>
      <w:pPr>
        <w:widowControl/>
      </w:pPr>
      <w:r>
        <w:t>The company is responsible for ensuring it has the rights and authority to connect source systems, provide records, involve contributors, and disclose diligence information to the requesting firm. Its authorized representatives control relevant connection choices, provide engagement-specific data-sharing authorization, and complete diligence submission certifications when applicable.</w:t>
      </w:r>
    </w:p>
    <w:p>
      <w:pPr>
        <w:pStyle w:val="Subheading"/>
        <w:widowControl/>
      </w:pPr>
      <w:r>
        <w:t>Venture-firm responsibilities</w:t>
      </w:r>
    </w:p>
    <w:p>
      <w:pPr>
        <w:widowControl/>
      </w:pPr>
      <w:r>
        <w:t>The requesting investment firm is responsible for managing access by its personnel and invited advisors, maintaining confidentiality obligations that apply to the information it receives, and using source materials only for legitimate purposes. The firm retains responsibility for independent diligence, evaluation, and investment decisions, including any records held outside Lunaseed.</w:t>
      </w:r>
    </w:p>
    <w:p>
      <w:pPr>
        <w:pStyle w:val="Subheading"/>
        <w:widowControl/>
      </w:pPr>
      <w:r>
        <w:t>Account-holder and contributor responsibilities</w:t>
      </w:r>
    </w:p>
    <w:p>
      <w:pPr>
        <w:widowControl/>
      </w:pPr>
      <w:r>
        <w:t>Individual users must safeguard credentials, use available authentication controls, follow assigned roles, avoid attempts to bypass permissions, and promptly report suspected compromise. External contributors are bound by additional access and confidentiality terms tied to their specific workspace.</w:t>
      </w:r>
    </w:p>
    <w:p>
      <w:pPr>
        <w:pStyle w:val="Subheading"/>
        <w:widowControl/>
      </w:pPr>
      <w:r>
        <w:t>Related governing documents</w:t>
      </w:r>
    </w:p>
    <w:p>
      <w:pPr>
        <w:widowControl/>
      </w:pPr>
      <w:r>
        <w:t>The following published policies and authorizations provide the formal legal framework for use of Lunaseed. Where a controlling agreement and this descriptive overview differ, the applicable signed or accepted agreement governs.</w:t>
      </w:r>
    </w:p>
    <w:tbl>
      <w:tblPr>
        <w:tblW w:type="auto" w:w="0"/>
        <w:jc w:val="center"/>
        <w:tblLayout w:type="fixed"/>
        <w:tblLook w:firstColumn="1" w:firstRow="1" w:lastColumn="0" w:lastRow="0" w:noHBand="0" w:noVBand="1" w:val="04A0"/>
      </w:tblPr>
      <w:tblGrid>
        <w:gridCol w:w="4579"/>
        <w:gridCol w:w="4579"/>
      </w:tblGrid>
      <w:tr>
        <w:trPr>
          <w:tblHeader w:val="true"/>
          <w:cantSplit/>
          <w:cantSplit/>
        </w:trPr>
        <w:tc>
          <w:tcPr>
            <w:tcW w:type="dxa" w:w="4032"/>
            <w:shd w:fill="241D18"/>
            <w:tcMar>
              <w:top w:w="115" w:type="dxa"/>
              <w:start w:w="115" w:type="dxa"/>
              <w:bottom w:w="115" w:type="dxa"/>
              <w:end w:w="115" w:type="dxa"/>
            </w:tcMar>
          </w:tcPr>
          <w:p>
            <w:pPr>
              <w:spacing w:after="0"/>
            </w:pPr>
            <w:r>
              <w:rPr>
                <w:rFonts w:ascii="Inter" w:hAnsi="Inter"/>
                <w:b/>
                <w:color w:val="FFFFFF"/>
                <w:sz w:val="14"/>
              </w:rPr>
              <w:t>DOCUMENT</w:t>
            </w:r>
          </w:p>
        </w:tc>
        <w:tc>
          <w:tcPr>
            <w:tcW w:type="dxa" w:w="5112"/>
            <w:shd w:fill="241D18"/>
            <w:tcMar>
              <w:top w:w="115" w:type="dxa"/>
              <w:start w:w="115" w:type="dxa"/>
              <w:bottom w:w="115" w:type="dxa"/>
              <w:end w:w="115" w:type="dxa"/>
            </w:tcMar>
          </w:tcPr>
          <w:p>
            <w:pPr>
              <w:spacing w:after="0"/>
            </w:pPr>
            <w:r>
              <w:rPr>
                <w:rFonts w:ascii="Inter" w:hAnsi="Inter"/>
                <w:b/>
                <w:color w:val="FFFFFF"/>
                <w:sz w:val="14"/>
              </w:rPr>
              <w:t>PURPOSE</w:t>
            </w:r>
          </w:p>
        </w:tc>
      </w:tr>
      <w:tr>
        <w:trPr>
          <w:cantSplit/>
          <w:cantSplit/>
        </w:trPr>
        <w:tc>
          <w:tcPr>
            <w:tcW w:type="dxa" w:w="4032"/>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Privacy Policy</w:t>
            </w:r>
          </w:p>
        </w:tc>
        <w:tc>
          <w:tcPr>
            <w:tcW w:type="dxa" w:w="511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Personal-information handling, data-subject rights, and related notices.</w:t>
            </w:r>
          </w:p>
        </w:tc>
      </w:tr>
      <w:tr>
        <w:trPr>
          <w:cantSplit/>
          <w:cantSplit/>
        </w:trPr>
        <w:tc>
          <w:tcPr>
            <w:tcW w:type="dxa" w:w="4032"/>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Terms of Service</w:t>
            </w:r>
          </w:p>
        </w:tc>
        <w:tc>
          <w:tcPr>
            <w:tcW w:type="dxa" w:w="511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Platform use, account obligations, and contractual conditions.</w:t>
            </w:r>
          </w:p>
        </w:tc>
      </w:tr>
      <w:tr>
        <w:trPr>
          <w:cantSplit/>
          <w:cantSplit/>
        </w:trPr>
        <w:tc>
          <w:tcPr>
            <w:tcW w:type="dxa" w:w="4032"/>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Diligence Data Sharing Authorization</w:t>
            </w:r>
          </w:p>
        </w:tc>
        <w:tc>
          <w:tcPr>
            <w:tcW w:type="dxa" w:w="511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Separate authorization for sharing company diligence information with a specified requesting firm.</w:t>
            </w:r>
          </w:p>
        </w:tc>
      </w:tr>
      <w:tr>
        <w:trPr>
          <w:cantSplit/>
          <w:cantSplit/>
        </w:trPr>
        <w:tc>
          <w:tcPr>
            <w:tcW w:type="dxa" w:w="4032"/>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Integration Data Access Authorization</w:t>
            </w:r>
          </w:p>
        </w:tc>
        <w:tc>
          <w:tcPr>
            <w:tcW w:type="dxa" w:w="511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Company-authorized source connections and read-only snapshot processing.</w:t>
            </w:r>
          </w:p>
        </w:tc>
      </w:tr>
      <w:tr>
        <w:trPr>
          <w:cantSplit/>
          <w:cantSplit/>
        </w:trPr>
        <w:tc>
          <w:tcPr>
            <w:tcW w:type="dxa" w:w="4032"/>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Contributor Access &amp; Confidentiality Agreement</w:t>
            </w:r>
          </w:p>
        </w:tc>
        <w:tc>
          <w:tcPr>
            <w:tcW w:type="dxa" w:w="5112"/>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Limits on invited participant access, disclosure, and use.</w:t>
            </w:r>
          </w:p>
        </w:tc>
      </w:tr>
      <w:tr>
        <w:trPr>
          <w:cantSplit/>
          <w:cantSplit/>
        </w:trPr>
        <w:tc>
          <w:tcPr>
            <w:tcW w:type="dxa" w:w="4032"/>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Diligence Submission Certification</w:t>
            </w:r>
          </w:p>
        </w:tc>
        <w:tc>
          <w:tcPr>
            <w:tcW w:type="dxa" w:w="5112"/>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Submission-specific authority and good-faith accuracy assurances.</w:t>
            </w:r>
          </w:p>
        </w:tc>
      </w:tr>
    </w:tbl>
    <w:p>
      <w:pPr>
        <w:widowControl/>
        <w:spacing w:after="0"/>
      </w:pPr>
    </w:p>
    <w:p>
      <w:pPr>
        <w:pStyle w:val="NoteStyle"/>
        <w:widowControl/>
      </w:pPr>
      <w:r>
        <w:t>Security or privacy inquiries: info@lunaseed.io  |  www.lunaseed.io/legal</w:t>
      </w:r>
    </w:p>
    <w:p>
      <w:pPr>
        <w:widowControl/>
      </w:pPr>
      <w:r>
        <w:br w:type="page"/>
      </w:r>
    </w:p>
    <w:p>
      <w:pPr>
        <w:pStyle w:val="SecLabel"/>
        <w:widowControl/>
      </w:pPr>
      <w:r>
        <w:t>APPENDIX / CONTROL REFERENCE</w:t>
      </w:r>
    </w:p>
    <w:p>
      <w:pPr>
        <w:pStyle w:val="SectionHeading"/>
        <w:widowControl/>
      </w:pPr>
      <w:r>
        <w:t>Security control coverage</w:t>
      </w:r>
    </w:p>
    <w:p>
      <w:pPr>
        <w:widowControl/>
      </w:pPr>
      <w:r>
        <w:t>This reference aligns the twelve categories of Lunaseed’s documented security requirements with the safeguards described in this overview. It is intended to make vendor security review more efficient; it is not an independent attestation or evidence of third-party certification.</w:t>
      </w:r>
    </w:p>
    <w:tbl>
      <w:tblPr>
        <w:tblW w:type="auto" w:w="0"/>
        <w:jc w:val="center"/>
        <w:tblLayout w:type="fixed"/>
        <w:tblLook w:firstColumn="1" w:firstRow="1" w:lastColumn="0" w:lastRow="0" w:noHBand="0" w:noVBand="1" w:val="04A0"/>
      </w:tblPr>
      <w:tblGrid>
        <w:gridCol w:w="3053"/>
        <w:gridCol w:w="3053"/>
        <w:gridCol w:w="3053"/>
      </w:tblGrid>
      <w:tr>
        <w:trPr>
          <w:tblHeader w:val="true"/>
          <w:cantSplit/>
          <w:cantSplit/>
        </w:trPr>
        <w:tc>
          <w:tcPr>
            <w:tcW w:type="dxa" w:w="2016"/>
            <w:shd w:fill="241D18"/>
            <w:tcMar>
              <w:top w:w="115" w:type="dxa"/>
              <w:start w:w="115" w:type="dxa"/>
              <w:bottom w:w="115" w:type="dxa"/>
              <w:end w:w="115" w:type="dxa"/>
            </w:tcMar>
          </w:tcPr>
          <w:p>
            <w:pPr>
              <w:spacing w:after="0"/>
            </w:pPr>
            <w:r>
              <w:rPr>
                <w:rFonts w:ascii="Inter" w:hAnsi="Inter"/>
                <w:b/>
                <w:color w:val="FFFFFF"/>
                <w:sz w:val="14"/>
              </w:rPr>
              <w:t>NO. / DOMAIN</w:t>
            </w:r>
          </w:p>
        </w:tc>
        <w:tc>
          <w:tcPr>
            <w:tcW w:type="dxa" w:w="6264"/>
            <w:shd w:fill="241D18"/>
            <w:tcMar>
              <w:top w:w="115" w:type="dxa"/>
              <w:start w:w="115" w:type="dxa"/>
              <w:bottom w:w="115" w:type="dxa"/>
              <w:end w:w="115" w:type="dxa"/>
            </w:tcMar>
          </w:tcPr>
          <w:p>
            <w:pPr>
              <w:spacing w:after="0"/>
            </w:pPr>
            <w:r>
              <w:rPr>
                <w:rFonts w:ascii="Inter" w:hAnsi="Inter"/>
                <w:b/>
                <w:color w:val="FFFFFF"/>
                <w:sz w:val="14"/>
              </w:rPr>
              <w:t>PRIMARY SAFEGUARD</w:t>
            </w:r>
          </w:p>
        </w:tc>
        <w:tc>
          <w:tcPr>
            <w:tcW w:type="dxa" w:w="864"/>
            <w:shd w:fill="241D18"/>
            <w:tcMar>
              <w:top w:w="115" w:type="dxa"/>
              <w:start w:w="115" w:type="dxa"/>
              <w:bottom w:w="115" w:type="dxa"/>
              <w:end w:w="115" w:type="dxa"/>
            </w:tcMar>
          </w:tcPr>
          <w:p>
            <w:pPr>
              <w:spacing w:after="0"/>
            </w:pPr>
            <w:r>
              <w:rPr>
                <w:rFonts w:ascii="Inter" w:hAnsi="Inter"/>
                <w:b/>
                <w:color w:val="FFFFFF"/>
                <w:sz w:val="14"/>
              </w:rPr>
              <w:t>SECTION</w:t>
            </w:r>
          </w:p>
        </w:tc>
      </w:tr>
      <w:tr>
        <w:trPr>
          <w:cantSplit/>
          <w:cantSplit/>
        </w:trPr>
        <w:tc>
          <w:tcPr>
            <w:tcW w:type="dxa" w:w="2016"/>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01 / Isolation</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Firm-, company-, and engagement-scoped authorization and data boundaries.</w:t>
            </w:r>
          </w:p>
        </w:tc>
        <w:tc>
          <w:tcPr>
            <w:tcW w:type="dxa" w:w="8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01</w:t>
            </w:r>
          </w:p>
        </w:tc>
      </w:tr>
      <w:tr>
        <w:trPr>
          <w:cantSplit/>
          <w:cantSplit/>
        </w:trPr>
        <w:tc>
          <w:tcPr>
            <w:tcW w:type="dxa" w:w="2016"/>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02 / Snapshots</w:t>
            </w:r>
          </w:p>
        </w:tc>
        <w:tc>
          <w:tcPr>
            <w:tcW w:type="dxa" w:w="62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Company-directed read-only capture; disconnect after point-in-time collection.</w:t>
            </w:r>
          </w:p>
        </w:tc>
        <w:tc>
          <w:tcPr>
            <w:tcW w:type="dxa" w:w="8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03</w:t>
            </w:r>
          </w:p>
        </w:tc>
      </w:tr>
      <w:tr>
        <w:trPr>
          <w:cantSplit/>
          <w:cantSplit/>
        </w:trPr>
        <w:tc>
          <w:tcPr>
            <w:tcW w:type="dxa" w:w="2016"/>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03 / Encryption</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Encryption in transit and at rest, including files, databases, snapshots, and backups.</w:t>
            </w:r>
          </w:p>
        </w:tc>
        <w:tc>
          <w:tcPr>
            <w:tcW w:type="dxa" w:w="8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02</w:t>
            </w:r>
          </w:p>
        </w:tc>
      </w:tr>
      <w:tr>
        <w:trPr>
          <w:cantSplit/>
          <w:cantSplit/>
        </w:trPr>
        <w:tc>
          <w:tcPr>
            <w:tcW w:type="dxa" w:w="2016"/>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04 / Identity</w:t>
            </w:r>
          </w:p>
        </w:tc>
        <w:tc>
          <w:tcPr>
            <w:tcW w:type="dxa" w:w="62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Authentication, MFA, role-based permissions, and server-side authorization.</w:t>
            </w:r>
          </w:p>
        </w:tc>
        <w:tc>
          <w:tcPr>
            <w:tcW w:type="dxa" w:w="8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01</w:t>
            </w:r>
          </w:p>
        </w:tc>
      </w:tr>
      <w:tr>
        <w:trPr>
          <w:cantSplit/>
          <w:cantSplit/>
        </w:trPr>
        <w:tc>
          <w:tcPr>
            <w:tcW w:type="dxa" w:w="2016"/>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05 / Retention</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30-day export/recovery window; termination deletion within 90 days; 35-day backups.</w:t>
            </w:r>
          </w:p>
        </w:tc>
        <w:tc>
          <w:tcPr>
            <w:tcW w:type="dxa" w:w="8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06</w:t>
            </w:r>
          </w:p>
        </w:tc>
      </w:tr>
      <w:tr>
        <w:trPr>
          <w:cantSplit/>
          <w:cantSplit/>
        </w:trPr>
        <w:tc>
          <w:tcPr>
            <w:tcW w:type="dxa" w:w="2016"/>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06 / Deletion</w:t>
            </w:r>
          </w:p>
        </w:tc>
        <w:tc>
          <w:tcPr>
            <w:tcW w:type="dxa" w:w="62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Active production deletion within 30 days of a valid request, with exceptions.</w:t>
            </w:r>
          </w:p>
        </w:tc>
        <w:tc>
          <w:tcPr>
            <w:tcW w:type="dxa" w:w="8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06</w:t>
            </w:r>
          </w:p>
        </w:tc>
      </w:tr>
      <w:tr>
        <w:trPr>
          <w:cantSplit/>
          <w:cantSplit/>
        </w:trPr>
        <w:tc>
          <w:tcPr>
            <w:tcW w:type="dxa" w:w="2016"/>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07 / Infrastructure</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Restricted cloud, API, storage, server, configuration, and credential access.</w:t>
            </w:r>
          </w:p>
        </w:tc>
        <w:tc>
          <w:tcPr>
            <w:tcW w:type="dxa" w:w="8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02</w:t>
            </w:r>
          </w:p>
        </w:tc>
      </w:tr>
      <w:tr>
        <w:trPr>
          <w:cantSplit/>
          <w:cantSplit/>
        </w:trPr>
        <w:tc>
          <w:tcPr>
            <w:tcW w:type="dxa" w:w="2016"/>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08 / AI</w:t>
            </w:r>
          </w:p>
        </w:tc>
        <w:tc>
          <w:tcPr>
            <w:tcW w:type="dxa" w:w="62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AWS Bedrock processing, restricted IAM, no training on customer content.</w:t>
            </w:r>
          </w:p>
        </w:tc>
        <w:tc>
          <w:tcPr>
            <w:tcW w:type="dxa" w:w="8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05</w:t>
            </w:r>
          </w:p>
        </w:tc>
      </w:tr>
      <w:tr>
        <w:trPr>
          <w:cantSplit/>
          <w:cantSplit/>
        </w:trPr>
        <w:tc>
          <w:tcPr>
            <w:tcW w:type="dxa" w:w="2016"/>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09 / Monitoring</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Sensitive access and security logs, monitoring, suspicious-activity alerts.</w:t>
            </w:r>
          </w:p>
        </w:tc>
        <w:tc>
          <w:tcPr>
            <w:tcW w:type="dxa" w:w="8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07</w:t>
            </w:r>
          </w:p>
        </w:tc>
      </w:tr>
      <w:tr>
        <w:trPr>
          <w:cantSplit/>
          <w:cantSplit/>
        </w:trPr>
        <w:tc>
          <w:tcPr>
            <w:tcW w:type="dxa" w:w="2016"/>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10 / Recovery</w:t>
            </w:r>
          </w:p>
        </w:tc>
        <w:tc>
          <w:tcPr>
            <w:tcW w:type="dxa" w:w="62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Encrypted rolling backups and tested restoration.</w:t>
            </w:r>
          </w:p>
        </w:tc>
        <w:tc>
          <w:tcPr>
            <w:tcW w:type="dxa" w:w="8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07</w:t>
            </w:r>
          </w:p>
        </w:tc>
      </w:tr>
      <w:tr>
        <w:trPr>
          <w:cantSplit/>
          <w:cantSplit/>
        </w:trPr>
        <w:tc>
          <w:tcPr>
            <w:tcW w:type="dxa" w:w="2016"/>
            <w:tcMar>
              <w:top w:w="105" w:type="dxa"/>
              <w:start w:w="115" w:type="dxa"/>
              <w:bottom w:w="115" w:type="dxa"/>
              <w:end w:w="115" w:type="dxa"/>
            </w:tcMar>
            <w:shd w:fill="F7F4EF"/>
            <w:tcBorders>
              <w:bottom w:val="single" w:sz="4" w:color="E8E0D7"/>
            </w:tcBorders>
          </w:tcPr>
          <w:p>
            <w:pPr>
              <w:spacing w:after="0" w:line="283" w:lineRule="auto"/>
            </w:pPr>
            <w:r>
              <w:rPr>
                <w:rFonts w:ascii="Inter" w:hAnsi="Inter"/>
                <w:b/>
                <w:color w:val="241D18"/>
                <w:sz w:val="15"/>
              </w:rPr>
              <w:t>11 / Authorization</w:t>
            </w:r>
          </w:p>
        </w:tc>
        <w:tc>
          <w:tcPr>
            <w:tcW w:type="dxa" w:w="62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Data-sharing, integration, contributor, and submission-specific agreements.</w:t>
            </w:r>
          </w:p>
        </w:tc>
        <w:tc>
          <w:tcPr>
            <w:tcW w:type="dxa" w:w="864"/>
            <w:tcMar>
              <w:top w:w="105" w:type="dxa"/>
              <w:start w:w="115" w:type="dxa"/>
              <w:bottom w:w="115" w:type="dxa"/>
              <w:end w:w="115" w:type="dxa"/>
            </w:tcMar>
            <w:shd w:fill="F7F4EF"/>
            <w:tcBorders>
              <w:bottom w:val="single" w:sz="4" w:color="E8E0D7"/>
            </w:tcBorders>
          </w:tcPr>
          <w:p>
            <w:pPr>
              <w:spacing w:after="0" w:line="283" w:lineRule="auto"/>
            </w:pPr>
            <w:r>
              <w:rPr>
                <w:rFonts w:ascii="Inter" w:hAnsi="Inter"/>
                <w:color w:val="605852"/>
                <w:sz w:val="15"/>
              </w:rPr>
              <w:t>04, 09</w:t>
            </w:r>
          </w:p>
        </w:tc>
      </w:tr>
      <w:tr>
        <w:trPr>
          <w:cantSplit/>
          <w:cantSplit/>
        </w:trPr>
        <w:tc>
          <w:tcPr>
            <w:tcW w:type="dxa" w:w="2016"/>
            <w:tcMar>
              <w:top w:w="105" w:type="dxa"/>
              <w:start w:w="115" w:type="dxa"/>
              <w:bottom w:w="115" w:type="dxa"/>
              <w:end w:w="115" w:type="dxa"/>
            </w:tcMar>
            <w:tcBorders>
              <w:bottom w:val="single" w:sz="4" w:color="E8E0D7"/>
            </w:tcBorders>
          </w:tcPr>
          <w:p>
            <w:pPr>
              <w:spacing w:after="0" w:line="283" w:lineRule="auto"/>
            </w:pPr>
            <w:r>
              <w:rPr>
                <w:rFonts w:ascii="Inter" w:hAnsi="Inter"/>
                <w:b/>
                <w:color w:val="241D18"/>
                <w:sz w:val="15"/>
              </w:rPr>
              <w:t>12 / Assurance</w:t>
            </w:r>
          </w:p>
        </w:tc>
        <w:tc>
          <w:tcPr>
            <w:tcW w:type="dxa" w:w="62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Security testing, incident detection, containment, and response.</w:t>
            </w:r>
          </w:p>
        </w:tc>
        <w:tc>
          <w:tcPr>
            <w:tcW w:type="dxa" w:w="864"/>
            <w:tcMar>
              <w:top w:w="105" w:type="dxa"/>
              <w:start w:w="115" w:type="dxa"/>
              <w:bottom w:w="115" w:type="dxa"/>
              <w:end w:w="115" w:type="dxa"/>
            </w:tcMar>
            <w:tcBorders>
              <w:bottom w:val="single" w:sz="4" w:color="E8E0D7"/>
            </w:tcBorders>
          </w:tcPr>
          <w:p>
            <w:pPr>
              <w:spacing w:after="0" w:line="283" w:lineRule="auto"/>
            </w:pPr>
            <w:r>
              <w:rPr>
                <w:rFonts w:ascii="Inter" w:hAnsi="Inter"/>
                <w:color w:val="605852"/>
                <w:sz w:val="15"/>
              </w:rPr>
              <w:t>08</w:t>
            </w:r>
          </w:p>
        </w:tc>
      </w:tr>
    </w:tbl>
    <w:p>
      <w:pPr>
        <w:widowControl/>
        <w:spacing w:after="0"/>
      </w:pPr>
    </w:p>
    <w:p>
      <w:pPr>
        <w:pStyle w:val="Subheading"/>
        <w:widowControl/>
      </w:pPr>
      <w:r>
        <w:t>Further information</w:t>
      </w:r>
    </w:p>
    <w:p>
      <w:pPr>
        <w:widowControl/>
      </w:pPr>
      <w:r>
        <w:t>Lunaseed maintains additional internal security procedures and operational evidence that are not published in this customer-facing overview. Requests for additional due-diligence information are considered according to the nature of the request, the sensitivity of the underlying material, and applicable confidentiality arrangements.</w:t>
      </w:r>
    </w:p>
    <w:p>
      <w:pPr>
        <w:pStyle w:val="NoteStyle"/>
        <w:widowControl/>
      </w:pPr>
      <w:r>
        <w:t>Lunaseed Inc.  |  www.lunaseed.io  |  info@lunaseed.io</w:t>
      </w:r>
    </w:p>
    <w:sectPr w:rsidR="00FC693F" w:rsidRPr="0006063C" w:rsidSect="00034616">
      <w:headerReference w:type="default" r:id="rId9"/>
      <w:footerReference w:type="default" r:id="rId10"/>
      <w:footerReference w:type="first" r:id="rId11"/>
      <w:pgSz w:w="11952" w:h="16848"/>
      <w:pgMar w:top="1325" w:right="1397" w:bottom="1037" w:left="1397" w:header="562" w:footer="53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58" w:val="right"/>
      </w:tabs>
      <w:jc w:val="left"/>
    </w:pPr>
    <w:r>
      <w:rPr>
        <w:rFonts w:ascii="Inter" w:hAnsi="Inter"/>
        <w:color w:val="72695F"/>
        <w:sz w:val="14"/>
      </w:rPr>
      <w:t>© Lunaseed Inc.   •   October 2026</w:t>
    </w:r>
    <w:r>
      <w:tab/>
    </w:r>
    <w:r>
      <w:rPr>
        <w:rFonts w:ascii="Inter" w:hAnsi="Inter"/>
        <w:color w:val="72695F"/>
        <w:sz w:val="14"/>
      </w:rPr>
      <w:t xml:space="preserve">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Inter" w:hAnsi="Inter"/>
        <w:color w:val="72695F"/>
        <w:sz w:val="15"/>
      </w:rPr>
      <w:t>LUNASEED INC.    •    SECURITY &amp; DATA PROTECTION OVERVIEW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Pr>
    <w:r>
      <w:rPr>
        <w:rFonts w:ascii="Inter" w:hAnsi="Inter"/>
        <w:b/>
        <w:color w:val="72695F"/>
        <w:sz w:val="14"/>
      </w:rPr>
      <w:t>LUNASEED  /  SECURITY &amp; DATA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6" w:line="314" w:lineRule="auto"/>
    </w:pPr>
    <w:rPr>
      <w:rFonts w:ascii="Inter" w:hAnsi="Inter"/>
      <w:color w:val="241D1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Label">
    <w:name w:val="SecLabel"/>
    <w:pPr>
      <w:keepNext/>
      <w:spacing w:before="0" w:after="180" w:line="288" w:lineRule="auto"/>
    </w:pPr>
    <w:rPr>
      <w:rFonts w:ascii="Inter" w:hAnsi="Inter"/>
      <w:b/>
      <w:color w:val="9C8B79"/>
      <w:sz w:val="16"/>
    </w:rPr>
  </w:style>
  <w:style w:type="paragraph" w:customStyle="1" w:styleId="DocTitle">
    <w:name w:val="DocTitle"/>
    <w:pPr>
      <w:keepNext/>
      <w:spacing w:before="0" w:after="180" w:line="288" w:lineRule="auto"/>
    </w:pPr>
    <w:rPr>
      <w:rFonts w:ascii="EB Garamond" w:hAnsi="EB Garamond"/>
      <w:b w:val="0"/>
      <w:color w:val="241D18"/>
      <w:sz w:val="60"/>
    </w:rPr>
  </w:style>
  <w:style w:type="paragraph" w:customStyle="1" w:styleId="SectionHeading">
    <w:name w:val="SectionHeading"/>
    <w:pPr>
      <w:keepNext/>
      <w:spacing w:before="0" w:after="200" w:line="288" w:lineRule="auto"/>
      <w:outlineLvl w:val="0"/>
    </w:pPr>
    <w:rPr>
      <w:rFonts w:ascii="EB Garamond" w:hAnsi="EB Garamond"/>
      <w:b w:val="0"/>
      <w:color w:val="241D18"/>
      <w:sz w:val="44"/>
    </w:rPr>
  </w:style>
  <w:style w:type="paragraph" w:customStyle="1" w:styleId="Subheading">
    <w:name w:val="Subheading"/>
    <w:pPr>
      <w:keepNext/>
      <w:spacing w:before="240" w:after="110" w:line="288" w:lineRule="auto"/>
      <w:outlineLvl w:val="1"/>
    </w:pPr>
    <w:rPr>
      <w:rFonts w:ascii="Inter" w:hAnsi="Inter"/>
      <w:b/>
      <w:color w:val="241D18"/>
      <w:sz w:val="20"/>
    </w:rPr>
  </w:style>
  <w:style w:type="paragraph" w:customStyle="1" w:styleId="CaptionStyle">
    <w:name w:val="CaptionStyle"/>
    <w:pPr>
      <w:keepNext w:val="0"/>
      <w:spacing w:before="0" w:after="100" w:line="288" w:lineRule="auto"/>
    </w:pPr>
    <w:rPr>
      <w:rFonts w:ascii="Inter" w:hAnsi="Inter"/>
      <w:b w:val="0"/>
      <w:color w:val="72695F"/>
      <w:sz w:val="16"/>
    </w:rPr>
  </w:style>
  <w:style w:type="paragraph" w:customStyle="1" w:styleId="NoteStyle">
    <w:name w:val="NoteStyle"/>
    <w:pPr>
      <w:keepNext w:val="0"/>
      <w:spacing w:before="0" w:after="120" w:line="288" w:lineRule="auto"/>
    </w:pPr>
    <w:rPr>
      <w:rFonts w:ascii="Inter" w:hAnsi="Inter"/>
      <w:b w:val="0"/>
      <w:color w:val="605852"/>
      <w:sz w:val="16"/>
    </w:rPr>
  </w:style>
  <w:style w:type="paragraph" w:customStyle="1" w:styleId="TocRow">
    <w:name w:val="TocRow"/>
    <w:pPr>
      <w:keepNext w:val="0"/>
      <w:spacing w:before="0" w:after="140" w:line="288" w:lineRule="auto"/>
    </w:pPr>
    <w:rPr>
      <w:rFonts w:ascii="Inter" w:hAnsi="Inter"/>
      <w:b w:val="0"/>
      <w:color w:val="241D18"/>
      <w:sz w:val="18"/>
    </w:rPr>
  </w:style>
  <w:style w:type="paragraph" w:customStyle="1" w:styleId="CoverKicker">
    <w:name w:val="CoverKicker"/>
    <w:pPr>
      <w:keepNext w:val="0"/>
      <w:spacing w:before="0" w:after="200" w:line="271" w:lineRule="auto"/>
    </w:pPr>
    <w:rPr>
      <w:rFonts w:ascii="Inter" w:hAnsi="Inter"/>
      <w:b/>
      <w:color w:val="9C8B79"/>
      <w:sz w:val="18"/>
    </w:rPr>
  </w:style>
  <w:style w:type="paragraph" w:customStyle="1" w:styleId="CoverTitle">
    <w:name w:val="CoverTitle"/>
    <w:pPr>
      <w:keepNext w:val="0"/>
      <w:spacing w:before="0" w:after="260" w:line="271" w:lineRule="auto"/>
    </w:pPr>
    <w:rPr>
      <w:rFonts w:ascii="EB Garamond" w:hAnsi="EB Garamond"/>
      <w:b w:val="0"/>
      <w:color w:val="241D18"/>
      <w:sz w:val="84"/>
    </w:rPr>
  </w:style>
  <w:style w:type="paragraph" w:customStyle="1" w:styleId="CoverSubtitle">
    <w:name w:val="CoverSubtitle"/>
    <w:pPr>
      <w:keepNext w:val="0"/>
      <w:spacing w:before="0" w:after="240" w:line="271" w:lineRule="auto"/>
    </w:pPr>
    <w:rPr>
      <w:rFonts w:ascii="Inter" w:hAnsi="Inter"/>
      <w:b w:val="0"/>
      <w:color w:val="605852"/>
      <w:sz w:val="23"/>
    </w:rPr>
  </w:style>
  <w:style w:type="paragraph" w:customStyle="1" w:styleId="Smallcaps">
    <w:name w:val="Smallcaps"/>
    <w:pPr>
      <w:keepNext w:val="0"/>
      <w:spacing w:before="0" w:after="80" w:line="288" w:lineRule="auto"/>
    </w:pPr>
    <w:rPr>
      <w:rFonts w:ascii="Inter" w:hAnsi="Inter"/>
      <w:b/>
      <w:color w:val="605852"/>
      <w:sz w:val="16"/>
    </w:rPr>
  </w:style>
  <w:style w:type="paragraph" w:customStyle="1" w:styleId="SecurityBullet">
    <w:name w:val="SecurityBullet"/>
    <w:basedOn w:val="Normal"/>
    <w:pPr>
      <w:spacing w:after="100" w:line="298" w:lineRule="auto"/>
      <w:ind w:left="331" w:hanging="187"/>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&amp; Data Protection Overview | Lunaseed</dc:title>
  <dc:subject>Customer-facing security and data protection overview</dc:subject>
  <dc:creator>Lunaseed Inc.</dc:creator>
  <cp:keywords>venture diligence; security; data protection; AWS Bedrock; privacy</cp:keywords>
  <dc:description>generated by python-docx</dc:description>
  <cp:lastModifiedBy/>
  <cp:revision>1</cp:revision>
  <dcterms:created xsi:type="dcterms:W3CDTF">2013-12-23T23:15:00Z</dcterms:created>
  <dcterms:modified xsi:type="dcterms:W3CDTF">2013-12-23T23:15:00Z</dcterms:modified>
  <cp:category/>
</cp:coreProperties>
</file>